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96DC8">
      <w:pPr>
        <w:autoSpaceDE w:val="0"/>
        <w:autoSpaceDN w:val="0"/>
        <w:adjustRightInd w:val="0"/>
        <w:rPr>
          <w:rFonts w:ascii="Times New Roman" w:hAnsi="Times New Roman" w:cs="Times New Roman"/>
          <w:color w:val="000000"/>
        </w:rPr>
      </w:pPr>
    </w:p>
    <w:p w:rsidR="00000000" w:rsidRDefault="00A96DC8">
      <w:pPr>
        <w:autoSpaceDE w:val="0"/>
        <w:autoSpaceDN w:val="0"/>
        <w:adjustRightInd w:val="0"/>
        <w:rPr>
          <w:rFonts w:ascii="Arial" w:hAnsi="Arial" w:cs="Arial"/>
        </w:rPr>
        <w:sectPr w:rsidR="00000000">
          <w:headerReference w:type="default" r:id="rId6"/>
          <w:footerReference w:type="default" r:id="rId7"/>
          <w:pgSz w:w="12240" w:h="15840"/>
          <w:pgMar w:top="1080" w:right="1080" w:bottom="1080" w:left="1080" w:header="720" w:footer="720" w:gutter="0"/>
          <w:cols w:space="720"/>
          <w:noEndnote/>
        </w:sectPr>
      </w:pPr>
    </w:p>
    <w:p w:rsidR="00000000" w:rsidRDefault="00A96DC8">
      <w:pPr>
        <w:autoSpaceDE w:val="0"/>
        <w:autoSpaceDN w:val="0"/>
        <w:adjustRightInd w:val="0"/>
        <w:jc w:val="both"/>
        <w:rPr>
          <w:rFonts w:ascii="Times New Roman" w:hAnsi="Times New Roman" w:cs="Times New Roman"/>
          <w:color w:val="000000"/>
          <w:sz w:val="20"/>
        </w:rPr>
      </w:pPr>
      <w:bookmarkStart w:id="0" w:name="co_document_1"/>
      <w:bookmarkStart w:id="1" w:name="I9d9fa610cad211eabc828196ec3e3eca_Target"/>
      <w:bookmarkEnd w:id="0"/>
      <w:bookmarkEnd w:id="1"/>
    </w:p>
    <w:p w:rsidR="00000000" w:rsidRDefault="00A96DC8">
      <w:pPr>
        <w:autoSpaceDE w:val="0"/>
        <w:autoSpaceDN w:val="0"/>
        <w:adjustRightInd w:val="0"/>
        <w:spacing w:before="100"/>
        <w:jc w:val="center"/>
        <w:rPr>
          <w:rFonts w:ascii="Georgia" w:hAnsi="Georgia" w:cs="Georgia"/>
          <w:color w:val="000000"/>
          <w:sz w:val="20"/>
        </w:rPr>
      </w:pPr>
      <w:r>
        <w:rPr>
          <w:rFonts w:ascii="Georgia" w:hAnsi="Georgia" w:cs="Georgia"/>
          <w:color w:val="000000"/>
          <w:sz w:val="20"/>
        </w:rPr>
        <w:t>2020 WL 4047332</w:t>
      </w:r>
    </w:p>
    <w:p w:rsidR="00000000" w:rsidRDefault="00A96DC8">
      <w:pPr>
        <w:autoSpaceDE w:val="0"/>
        <w:autoSpaceDN w:val="0"/>
        <w:adjustRightInd w:val="0"/>
        <w:jc w:val="center"/>
        <w:rPr>
          <w:rFonts w:ascii="Georgia" w:hAnsi="Georgia" w:cs="Georgia"/>
          <w:color w:val="000000"/>
          <w:sz w:val="20"/>
        </w:rPr>
      </w:pPr>
      <w:r>
        <w:rPr>
          <w:rFonts w:ascii="Georgia" w:hAnsi="Georgia" w:cs="Georgia"/>
          <w:color w:val="000000"/>
          <w:sz w:val="20"/>
        </w:rPr>
        <w:t>Only the Westlaw citation is currently available.</w:t>
      </w:r>
    </w:p>
    <w:p w:rsidR="00000000" w:rsidRDefault="00A96DC8">
      <w:pPr>
        <w:autoSpaceDE w:val="0"/>
        <w:autoSpaceDN w:val="0"/>
        <w:adjustRightInd w:val="0"/>
        <w:jc w:val="center"/>
        <w:rPr>
          <w:rFonts w:ascii="Georgia" w:hAnsi="Georgia" w:cs="Georgia"/>
          <w:color w:val="000000"/>
          <w:sz w:val="16"/>
        </w:rPr>
      </w:pPr>
      <w:r>
        <w:rPr>
          <w:rFonts w:ascii="Georgia" w:hAnsi="Georgia" w:cs="Georgia"/>
          <w:b/>
          <w:color w:val="000000"/>
          <w:sz w:val="20"/>
        </w:rPr>
        <w:t>CERTIFIED FOR PARTIAL PUBLICATION</w:t>
      </w:r>
      <w:bookmarkStart w:id="2" w:name="co_fnRef_B00012051484338_ID0EGE_1"/>
      <w:bookmarkEnd w:id="2"/>
      <w:r>
        <w:rPr>
          <w:rFonts w:ascii="Georgia" w:hAnsi="Georgia" w:cs="Georgia"/>
          <w:color w:val="0000FF"/>
          <w:sz w:val="16"/>
          <w:vertAlign w:val="superscript"/>
        </w:rPr>
        <w:t>*</w:t>
      </w:r>
    </w:p>
    <w:p w:rsidR="00000000" w:rsidRDefault="00A96DC8">
      <w:pPr>
        <w:autoSpaceDE w:val="0"/>
        <w:autoSpaceDN w:val="0"/>
        <w:adjustRightInd w:val="0"/>
        <w:spacing w:before="200"/>
        <w:jc w:val="center"/>
        <w:rPr>
          <w:rFonts w:ascii="Georgia" w:hAnsi="Georgia" w:cs="Georgia"/>
          <w:color w:val="000000"/>
          <w:sz w:val="20"/>
        </w:rPr>
      </w:pPr>
      <w:r>
        <w:rPr>
          <w:rFonts w:ascii="Georgia" w:hAnsi="Georgia" w:cs="Georgia"/>
          <w:color w:val="000000"/>
          <w:sz w:val="20"/>
        </w:rPr>
        <w:t>Court of Appeal, First District, Division 1, California.</w:t>
      </w:r>
    </w:p>
    <w:p w:rsidR="00000000" w:rsidRDefault="00A96DC8">
      <w:pPr>
        <w:autoSpaceDE w:val="0"/>
        <w:autoSpaceDN w:val="0"/>
        <w:adjustRightInd w:val="0"/>
        <w:spacing w:before="200"/>
        <w:ind w:left="100" w:right="100"/>
        <w:jc w:val="center"/>
        <w:rPr>
          <w:rFonts w:ascii="Georgia" w:hAnsi="Georgia" w:cs="Georgia"/>
          <w:color w:val="252525"/>
          <w:sz w:val="20"/>
        </w:rPr>
      </w:pPr>
      <w:r>
        <w:rPr>
          <w:rFonts w:ascii="Georgia" w:hAnsi="Georgia" w:cs="Georgia"/>
          <w:color w:val="0000FF"/>
          <w:sz w:val="20"/>
        </w:rPr>
        <w:t>DEWAYNE JOHNSON</w:t>
      </w:r>
      <w:r>
        <w:rPr>
          <w:rFonts w:ascii="Georgia" w:hAnsi="Georgia" w:cs="Georgia"/>
          <w:color w:val="252525"/>
          <w:sz w:val="20"/>
        </w:rPr>
        <w:t>, Plaintiff and Respondent,</w:t>
      </w:r>
    </w:p>
    <w:p w:rsidR="00000000" w:rsidRDefault="00A96DC8">
      <w:pPr>
        <w:autoSpaceDE w:val="0"/>
        <w:autoSpaceDN w:val="0"/>
        <w:adjustRightInd w:val="0"/>
        <w:ind w:left="100" w:right="100"/>
        <w:jc w:val="center"/>
        <w:rPr>
          <w:rFonts w:ascii="Georgia" w:hAnsi="Georgia" w:cs="Georgia"/>
          <w:color w:val="252525"/>
          <w:sz w:val="20"/>
        </w:rPr>
      </w:pPr>
      <w:r>
        <w:rPr>
          <w:rFonts w:ascii="Georgia" w:hAnsi="Georgia" w:cs="Georgia"/>
          <w:color w:val="252525"/>
          <w:sz w:val="20"/>
        </w:rPr>
        <w:t>v.</w:t>
      </w:r>
    </w:p>
    <w:p w:rsidR="00000000" w:rsidRDefault="00A96DC8">
      <w:pPr>
        <w:autoSpaceDE w:val="0"/>
        <w:autoSpaceDN w:val="0"/>
        <w:adjustRightInd w:val="0"/>
        <w:spacing w:after="200"/>
        <w:ind w:left="100" w:right="100"/>
        <w:jc w:val="center"/>
        <w:rPr>
          <w:rFonts w:ascii="Georgia" w:hAnsi="Georgia" w:cs="Georgia"/>
          <w:color w:val="252525"/>
          <w:sz w:val="20"/>
        </w:rPr>
      </w:pPr>
      <w:r>
        <w:rPr>
          <w:rFonts w:ascii="Georgia" w:hAnsi="Georgia" w:cs="Georgia"/>
          <w:color w:val="252525"/>
          <w:sz w:val="20"/>
        </w:rPr>
        <w:t>MONSANTO COMPANY, Defendant and Appellant.</w:t>
      </w:r>
    </w:p>
    <w:p w:rsidR="00000000" w:rsidRDefault="00A96DC8">
      <w:pPr>
        <w:autoSpaceDE w:val="0"/>
        <w:autoSpaceDN w:val="0"/>
        <w:adjustRightInd w:val="0"/>
        <w:ind w:left="200"/>
        <w:jc w:val="center"/>
        <w:rPr>
          <w:rFonts w:ascii="Georgia" w:hAnsi="Georgia" w:cs="Georgia"/>
          <w:color w:val="000000"/>
          <w:sz w:val="20"/>
        </w:rPr>
      </w:pPr>
      <w:r>
        <w:rPr>
          <w:rFonts w:ascii="Georgia" w:hAnsi="Georgia" w:cs="Georgia"/>
          <w:color w:val="000000"/>
          <w:sz w:val="20"/>
        </w:rPr>
        <w:t>A155940, A156706</w:t>
      </w:r>
    </w:p>
    <w:p w:rsidR="00000000" w:rsidRDefault="00A96DC8">
      <w:pPr>
        <w:autoSpaceDE w:val="0"/>
        <w:autoSpaceDN w:val="0"/>
        <w:adjustRightInd w:val="0"/>
        <w:ind w:left="200"/>
        <w:jc w:val="center"/>
        <w:rPr>
          <w:rFonts w:ascii="Georgia" w:hAnsi="Georgia" w:cs="Georgia"/>
          <w:color w:val="000000"/>
          <w:sz w:val="20"/>
        </w:rPr>
      </w:pPr>
      <w:r>
        <w:rPr>
          <w:rFonts w:ascii="Georgia" w:hAnsi="Georgia" w:cs="Georgia"/>
          <w:color w:val="000000"/>
          <w:sz w:val="20"/>
        </w:rPr>
        <w:t>|</w:t>
      </w:r>
    </w:p>
    <w:p w:rsidR="00000000" w:rsidRDefault="00A96DC8">
      <w:pPr>
        <w:autoSpaceDE w:val="0"/>
        <w:autoSpaceDN w:val="0"/>
        <w:adjustRightInd w:val="0"/>
        <w:spacing w:after="200"/>
        <w:ind w:left="200"/>
        <w:jc w:val="center"/>
        <w:rPr>
          <w:rFonts w:ascii="Georgia" w:hAnsi="Georgia" w:cs="Georgia"/>
          <w:color w:val="000000"/>
          <w:sz w:val="20"/>
        </w:rPr>
      </w:pPr>
      <w:r>
        <w:rPr>
          <w:rFonts w:ascii="Georgia" w:hAnsi="Georgia" w:cs="Georgia"/>
          <w:color w:val="000000"/>
          <w:sz w:val="20"/>
        </w:rPr>
        <w:t>Filed 7/20/2020</w:t>
      </w:r>
    </w:p>
    <w:p w:rsidR="00000000" w:rsidRDefault="00A96DC8">
      <w:pPr>
        <w:autoSpaceDE w:val="0"/>
        <w:autoSpaceDN w:val="0"/>
        <w:adjustRightInd w:val="0"/>
        <w:spacing w:before="200"/>
        <w:jc w:val="both"/>
        <w:rPr>
          <w:rFonts w:ascii="Times New Roman" w:hAnsi="Times New Roman" w:cs="Times New Roman"/>
          <w:color w:val="000000"/>
          <w:sz w:val="20"/>
        </w:rPr>
      </w:pPr>
      <w:r>
        <w:rPr>
          <w:rFonts w:ascii="Times New Roman" w:hAnsi="Times New Roman" w:cs="Times New Roman"/>
          <w:color w:val="000000"/>
          <w:sz w:val="20"/>
        </w:rPr>
        <w:t>(City and County of San Francisco Super. Ct. No. CGC-16-550128)</w:t>
      </w:r>
    </w:p>
    <w:p w:rsidR="00000000" w:rsidRDefault="00A96DC8">
      <w:pPr>
        <w:autoSpaceDE w:val="0"/>
        <w:autoSpaceDN w:val="0"/>
        <w:adjustRightInd w:val="0"/>
        <w:spacing w:before="200"/>
        <w:jc w:val="both"/>
        <w:rPr>
          <w:rFonts w:ascii="Times New Roman" w:hAnsi="Times New Roman" w:cs="Times New Roman"/>
          <w:b/>
          <w:color w:val="212121"/>
          <w:sz w:val="20"/>
        </w:rPr>
      </w:pPr>
      <w:bookmarkStart w:id="3" w:name="co_opinion_1"/>
      <w:bookmarkEnd w:id="3"/>
      <w:r>
        <w:rPr>
          <w:rFonts w:ascii="Times New Roman" w:hAnsi="Times New Roman" w:cs="Times New Roman"/>
          <w:b/>
          <w:color w:val="212121"/>
          <w:sz w:val="20"/>
        </w:rPr>
        <w:t>Opinion</w:t>
      </w:r>
    </w:p>
    <w:p w:rsidR="00000000" w:rsidRDefault="00A96DC8">
      <w:pPr>
        <w:autoSpaceDE w:val="0"/>
        <w:autoSpaceDN w:val="0"/>
        <w:adjustRightInd w:val="0"/>
        <w:jc w:val="both"/>
        <w:rPr>
          <w:rFonts w:ascii="Times New Roman" w:hAnsi="Times New Roman" w:cs="Times New Roman"/>
          <w:color w:val="000000"/>
          <w:sz w:val="20"/>
        </w:rPr>
      </w:pPr>
      <w:bookmarkStart w:id="4" w:name="co_anchor_I2ef12872cad611eaad728cad1da01"/>
      <w:bookmarkEnd w:id="4"/>
    </w:p>
    <w:p w:rsidR="00000000" w:rsidRDefault="00A96DC8">
      <w:pPr>
        <w:autoSpaceDE w:val="0"/>
        <w:autoSpaceDN w:val="0"/>
        <w:adjustRightInd w:val="0"/>
        <w:spacing w:before="200" w:after="200"/>
        <w:jc w:val="both"/>
        <w:rPr>
          <w:rFonts w:ascii="Times New Roman" w:hAnsi="Times New Roman" w:cs="Times New Roman"/>
          <w:color w:val="000000"/>
          <w:sz w:val="20"/>
        </w:rPr>
      </w:pPr>
      <w:r>
        <w:rPr>
          <w:rFonts w:ascii="Times New Roman" w:hAnsi="Times New Roman" w:cs="Times New Roman"/>
          <w:color w:val="0000FF"/>
          <w:sz w:val="20"/>
        </w:rPr>
        <w:t>Humes</w:t>
      </w:r>
      <w:r>
        <w:rPr>
          <w:rFonts w:ascii="Times New Roman" w:hAnsi="Times New Roman" w:cs="Times New Roman"/>
          <w:color w:val="000000"/>
          <w:sz w:val="20"/>
        </w:rPr>
        <w:t>, P.J.</w:t>
      </w:r>
    </w:p>
    <w:p w:rsidR="00000000" w:rsidRDefault="00A96DC8">
      <w:pPr>
        <w:autoSpaceDE w:val="0"/>
        <w:autoSpaceDN w:val="0"/>
        <w:adjustRightInd w:val="0"/>
        <w:jc w:val="both"/>
        <w:rPr>
          <w:rFonts w:ascii="Times New Roman" w:hAnsi="Times New Roman" w:cs="Times New Roman"/>
          <w:color w:val="000000"/>
          <w:sz w:val="20"/>
        </w:rPr>
      </w:pPr>
      <w:bookmarkStart w:id="5" w:name="co_anchor_I2f15c772cad611eaad728cad1da01"/>
      <w:bookmarkEnd w:id="5"/>
    </w:p>
    <w:p w:rsidR="00000000" w:rsidRDefault="00A96DC8">
      <w:pPr>
        <w:autoSpaceDE w:val="0"/>
        <w:autoSpaceDN w:val="0"/>
        <w:adjustRightInd w:val="0"/>
        <w:jc w:val="both"/>
        <w:rPr>
          <w:rFonts w:ascii="Times New Roman" w:hAnsi="Times New Roman" w:cs="Times New Roman"/>
          <w:color w:val="000000"/>
          <w:sz w:val="20"/>
        </w:rPr>
      </w:pPr>
      <w:bookmarkStart w:id="6" w:name="co_pp_sp_999_1_1"/>
      <w:bookmarkEnd w:id="6"/>
      <w:r>
        <w:rPr>
          <w:rFonts w:ascii="Times New Roman" w:hAnsi="Times New Roman" w:cs="Times New Roman"/>
          <w:b/>
          <w:color w:val="000000"/>
          <w:sz w:val="20"/>
        </w:rPr>
        <w:t>*1</w:t>
      </w:r>
      <w:r>
        <w:rPr>
          <w:rFonts w:ascii="Times New Roman" w:hAnsi="Times New Roman" w:cs="Times New Roman"/>
          <w:color w:val="000000"/>
          <w:sz w:val="20"/>
        </w:rPr>
        <w:t xml:space="preserve"> Respondent Dewayne (Lee) Johnson was a grounds manager for a school district and a heavy user of herbicides made by appellant Mo</w:t>
      </w:r>
      <w:r>
        <w:rPr>
          <w:rFonts w:ascii="Times New Roman" w:hAnsi="Times New Roman" w:cs="Times New Roman"/>
          <w:color w:val="000000"/>
          <w:sz w:val="20"/>
        </w:rPr>
        <w:t xml:space="preserve">nsanto Company. He sued Monsanto after contracting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and a jury awarded him compensatory and punitive damages. On appeal, Monsanto argues that Johnson failed to establish the company</w:t>
      </w:r>
      <w:r>
        <w:rPr>
          <w:rFonts w:ascii="Times New Roman" w:hAnsi="Times New Roman" w:cs="Times New Roman"/>
          <w:color w:val="000000"/>
          <w:sz w:val="20"/>
        </w:rPr>
        <w:t>’</w:t>
      </w:r>
      <w:r>
        <w:rPr>
          <w:rFonts w:ascii="Times New Roman" w:hAnsi="Times New Roman" w:cs="Times New Roman"/>
          <w:color w:val="000000"/>
          <w:sz w:val="20"/>
        </w:rPr>
        <w:t>s liability, the trial court prejudicially erred in</w:t>
      </w:r>
      <w:r>
        <w:rPr>
          <w:rFonts w:ascii="Times New Roman" w:hAnsi="Times New Roman" w:cs="Times New Roman"/>
          <w:color w:val="000000"/>
          <w:sz w:val="20"/>
        </w:rPr>
        <w:t xml:space="preserve"> some of its evidentiary rulings, federal law preempts Johnson</w:t>
      </w:r>
      <w:r>
        <w:rPr>
          <w:rFonts w:ascii="Times New Roman" w:hAnsi="Times New Roman" w:cs="Times New Roman"/>
          <w:color w:val="000000"/>
          <w:sz w:val="20"/>
        </w:rPr>
        <w:t>’</w:t>
      </w:r>
      <w:r>
        <w:rPr>
          <w:rFonts w:ascii="Times New Roman" w:hAnsi="Times New Roman" w:cs="Times New Roman"/>
          <w:color w:val="000000"/>
          <w:sz w:val="20"/>
        </w:rPr>
        <w:t>s claims, and the award of both compensatory and punitive damages was excessive. We reject most of these arguments and affirm, except in the published portion of our opinion we conclude that th</w:t>
      </w:r>
      <w:r>
        <w:rPr>
          <w:rFonts w:ascii="Times New Roman" w:hAnsi="Times New Roman" w:cs="Times New Roman"/>
          <w:color w:val="000000"/>
          <w:sz w:val="20"/>
        </w:rPr>
        <w:t>e jury</w:t>
      </w:r>
      <w:r>
        <w:rPr>
          <w:rFonts w:ascii="Times New Roman" w:hAnsi="Times New Roman" w:cs="Times New Roman"/>
          <w:color w:val="000000"/>
          <w:sz w:val="20"/>
        </w:rPr>
        <w:t>’</w:t>
      </w:r>
      <w:r>
        <w:rPr>
          <w:rFonts w:ascii="Times New Roman" w:hAnsi="Times New Roman" w:cs="Times New Roman"/>
          <w:color w:val="000000"/>
          <w:sz w:val="20"/>
        </w:rPr>
        <w:t>s awards of future noneconomic damages and punitive damages must be reduced.</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7" w:name="co_anchor_I2f16fff1cad611eaad728cad1da01"/>
      <w:bookmarkEnd w:id="7"/>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600" w:after="200"/>
        <w:jc w:val="center"/>
        <w:rPr>
          <w:rFonts w:ascii="Times New Roman" w:hAnsi="Times New Roman" w:cs="Times New Roman"/>
          <w:color w:val="000000"/>
          <w:sz w:val="20"/>
        </w:rPr>
      </w:pPr>
      <w:r>
        <w:rPr>
          <w:rFonts w:ascii="Times New Roman" w:hAnsi="Times New Roman" w:cs="Times New Roman"/>
          <w:color w:val="000000"/>
          <w:sz w:val="20"/>
        </w:rPr>
        <w:t>I.</w:t>
      </w:r>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600" w:after="200"/>
        <w:jc w:val="center"/>
        <w:rPr>
          <w:rFonts w:ascii="Times New Roman" w:hAnsi="Times New Roman" w:cs="Times New Roman"/>
          <w:color w:val="000000"/>
          <w:sz w:val="20"/>
        </w:rPr>
      </w:pPr>
      <w:r>
        <w:rPr>
          <w:rFonts w:ascii="Times New Roman" w:hAnsi="Times New Roman" w:cs="Times New Roman"/>
          <w:color w:val="000000"/>
          <w:sz w:val="20"/>
        </w:rPr>
        <w:t>FACTUAL AND PROCEDURAL BACKGROUND</w:t>
      </w:r>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400"/>
        <w:ind w:left="200"/>
        <w:rPr>
          <w:rFonts w:ascii="Times New Roman" w:hAnsi="Times New Roman" w:cs="Times New Roman"/>
          <w:i/>
          <w:color w:val="000000"/>
          <w:sz w:val="20"/>
        </w:rPr>
      </w:pPr>
      <w:r>
        <w:rPr>
          <w:rFonts w:ascii="Times New Roman" w:hAnsi="Times New Roman" w:cs="Times New Roman"/>
          <w:i/>
          <w:color w:val="000000"/>
          <w:sz w:val="20"/>
        </w:rPr>
        <w:t>A. Roundup Products.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Monsanto manufactures two herbicides that are the subject of this lawsuit: Roundup Pro and Ranger Pro, which we sometimes refer to collectively as </w:t>
      </w:r>
      <w:r>
        <w:rPr>
          <w:rFonts w:ascii="Times New Roman" w:hAnsi="Times New Roman" w:cs="Times New Roman"/>
          <w:color w:val="000000"/>
          <w:sz w:val="20"/>
        </w:rPr>
        <w:t>“</w:t>
      </w:r>
      <w:r>
        <w:rPr>
          <w:rFonts w:ascii="Times New Roman" w:hAnsi="Times New Roman" w:cs="Times New Roman"/>
          <w:color w:val="000000"/>
          <w:sz w:val="20"/>
        </w:rPr>
        <w:t>Roundup products.</w:t>
      </w:r>
      <w:r>
        <w:rPr>
          <w:rFonts w:ascii="Times New Roman" w:hAnsi="Times New Roman" w:cs="Times New Roman"/>
          <w:color w:val="000000"/>
          <w:sz w:val="20"/>
        </w:rPr>
        <w:t>”</w:t>
      </w:r>
      <w:r>
        <w:rPr>
          <w:rFonts w:ascii="Times New Roman" w:hAnsi="Times New Roman" w:cs="Times New Roman"/>
          <w:color w:val="000000"/>
          <w:sz w:val="20"/>
        </w:rPr>
        <w:t xml:space="preserve"> The first experimental-use permit was granted for Roundup in 1974, and the product came o</w:t>
      </w:r>
      <w:r>
        <w:rPr>
          <w:rFonts w:ascii="Times New Roman" w:hAnsi="Times New Roman" w:cs="Times New Roman"/>
          <w:color w:val="000000"/>
          <w:sz w:val="20"/>
        </w:rPr>
        <w:t>n the market in 1976.</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Roundup Pro can be purchased from ordinary retail outlets, and it is premixed and ready to spray. Ranger Pro, by contrast, can be purchased only from a certified dealer, and it is mixed by the user. The principal ingredient of both </w:t>
      </w:r>
      <w:r>
        <w:rPr>
          <w:rFonts w:ascii="Times New Roman" w:hAnsi="Times New Roman" w:cs="Times New Roman"/>
          <w:color w:val="000000"/>
          <w:sz w:val="20"/>
        </w:rPr>
        <w:t xml:space="preserve">products is glyphosate. Roundup Pro contains about 41 percent glyphosate, and Ranger Pro contains about 51 percent glyphosate. Roundup products also contain water as well as surfactants, which are </w:t>
      </w:r>
      <w:r>
        <w:rPr>
          <w:rFonts w:ascii="Times New Roman" w:hAnsi="Times New Roman" w:cs="Times New Roman"/>
          <w:color w:val="000000"/>
          <w:sz w:val="20"/>
        </w:rPr>
        <w:t>“</w:t>
      </w:r>
      <w:r>
        <w:rPr>
          <w:rFonts w:ascii="Times New Roman" w:hAnsi="Times New Roman" w:cs="Times New Roman"/>
          <w:color w:val="000000"/>
          <w:sz w:val="20"/>
        </w:rPr>
        <w:t>surface-acting molecule[s]</w:t>
      </w:r>
      <w:r>
        <w:rPr>
          <w:rFonts w:ascii="Times New Roman" w:hAnsi="Times New Roman" w:cs="Times New Roman"/>
          <w:color w:val="000000"/>
          <w:sz w:val="20"/>
        </w:rPr>
        <w:t>”</w:t>
      </w:r>
      <w:r>
        <w:rPr>
          <w:rFonts w:ascii="Times New Roman" w:hAnsi="Times New Roman" w:cs="Times New Roman"/>
          <w:color w:val="000000"/>
          <w:sz w:val="20"/>
        </w:rPr>
        <w:t xml:space="preserve"> that help the herbicide spread</w:t>
      </w:r>
      <w:r>
        <w:rPr>
          <w:rFonts w:ascii="Times New Roman" w:hAnsi="Times New Roman" w:cs="Times New Roman"/>
          <w:color w:val="000000"/>
          <w:sz w:val="20"/>
        </w:rPr>
        <w:t xml:space="preserve"> out and stay on leaf surfaces longer so that the glyphosate can penetrate more easily. One such surfactant used in Roundup products in the United States is polyethoxylated tallow amine (POEA), a class of surfactant. POEA has apparently been banned in at l</w:t>
      </w:r>
      <w:r>
        <w:rPr>
          <w:rFonts w:ascii="Times New Roman" w:hAnsi="Times New Roman" w:cs="Times New Roman"/>
          <w:color w:val="000000"/>
          <w:sz w:val="20"/>
        </w:rPr>
        <w:t xml:space="preserve">east some parts of Europe, though a Monsanto witness claimed this was </w:t>
      </w:r>
      <w:r>
        <w:rPr>
          <w:rFonts w:ascii="Times New Roman" w:hAnsi="Times New Roman" w:cs="Times New Roman"/>
          <w:color w:val="000000"/>
          <w:sz w:val="20"/>
        </w:rPr>
        <w:t>“</w:t>
      </w:r>
      <w:r>
        <w:rPr>
          <w:rFonts w:ascii="Times New Roman" w:hAnsi="Times New Roman" w:cs="Times New Roman"/>
          <w:color w:val="000000"/>
          <w:sz w:val="20"/>
        </w:rPr>
        <w:t>due to political reasons and is not supported by the scientific data.</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Between 1997 and 1999, four papers were issued that studied </w:t>
      </w:r>
      <w:r>
        <w:rPr>
          <w:rFonts w:ascii="Times New Roman" w:hAnsi="Times New Roman" w:cs="Times New Roman"/>
          <w:color w:val="000000"/>
          <w:sz w:val="20"/>
        </w:rPr>
        <w:t>“</w:t>
      </w:r>
      <w:r>
        <w:rPr>
          <w:rFonts w:ascii="Times New Roman" w:hAnsi="Times New Roman" w:cs="Times New Roman"/>
          <w:color w:val="000000"/>
          <w:sz w:val="20"/>
        </w:rPr>
        <w:t xml:space="preserve">the </w:t>
      </w:r>
      <w:r>
        <w:rPr>
          <w:rFonts w:ascii="Times New Roman" w:hAnsi="Times New Roman" w:cs="Times New Roman"/>
          <w:color w:val="0000FF"/>
          <w:sz w:val="20"/>
        </w:rPr>
        <w:t>genotoxicity</w:t>
      </w:r>
      <w:r>
        <w:rPr>
          <w:rFonts w:ascii="Times New Roman" w:hAnsi="Times New Roman" w:cs="Times New Roman"/>
          <w:color w:val="000000"/>
          <w:sz w:val="20"/>
        </w:rPr>
        <w:t xml:space="preserve"> of glyphosate and/or Roundup.</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FF"/>
          <w:sz w:val="20"/>
        </w:rPr>
        <w:t>Gen</w:t>
      </w:r>
      <w:r>
        <w:rPr>
          <w:rFonts w:ascii="Times New Roman" w:hAnsi="Times New Roman" w:cs="Times New Roman"/>
          <w:color w:val="0000FF"/>
          <w:sz w:val="20"/>
        </w:rPr>
        <w:t>otoxicity</w:t>
      </w:r>
      <w:r>
        <w:rPr>
          <w:rFonts w:ascii="Times New Roman" w:hAnsi="Times New Roman" w:cs="Times New Roman"/>
          <w:color w:val="000000"/>
          <w:sz w:val="20"/>
        </w:rPr>
        <w:t xml:space="preserve"> refers to the possibility of a chemical agent damaging genetic information within a cell, causing mutations that can lead to </w:t>
      </w:r>
      <w:r>
        <w:rPr>
          <w:rFonts w:ascii="Times New Roman" w:hAnsi="Times New Roman" w:cs="Times New Roman"/>
          <w:color w:val="0000FF"/>
          <w:sz w:val="20"/>
        </w:rPr>
        <w:t>cancer</w:t>
      </w:r>
      <w:r>
        <w:rPr>
          <w:rFonts w:ascii="Times New Roman" w:hAnsi="Times New Roman" w:cs="Times New Roman"/>
          <w:color w:val="000000"/>
          <w:sz w:val="20"/>
        </w:rPr>
        <w:t xml:space="preserve">. A toxicologist who worked for Monsanto at the time noted that these studies were inconsistent with </w:t>
      </w:r>
      <w:r>
        <w:rPr>
          <w:rFonts w:ascii="Times New Roman" w:hAnsi="Times New Roman" w:cs="Times New Roman"/>
          <w:color w:val="000000"/>
          <w:sz w:val="20"/>
        </w:rPr>
        <w:t>“</w:t>
      </w:r>
      <w:r>
        <w:rPr>
          <w:rFonts w:ascii="Times New Roman" w:hAnsi="Times New Roman" w:cs="Times New Roman"/>
          <w:color w:val="000000"/>
          <w:sz w:val="20"/>
        </w:rPr>
        <w:t>existing resu</w:t>
      </w:r>
      <w:r>
        <w:rPr>
          <w:rFonts w:ascii="Times New Roman" w:hAnsi="Times New Roman" w:cs="Times New Roman"/>
          <w:color w:val="000000"/>
          <w:sz w:val="20"/>
        </w:rPr>
        <w:t>lts</w:t>
      </w:r>
      <w:r>
        <w:rPr>
          <w:rFonts w:ascii="Times New Roman" w:hAnsi="Times New Roman" w:cs="Times New Roman"/>
          <w:color w:val="000000"/>
          <w:sz w:val="20"/>
        </w:rPr>
        <w:t>”</w:t>
      </w:r>
      <w:r>
        <w:rPr>
          <w:rFonts w:ascii="Times New Roman" w:hAnsi="Times New Roman" w:cs="Times New Roman"/>
          <w:color w:val="000000"/>
          <w:sz w:val="20"/>
        </w:rPr>
        <w:t xml:space="preserve"> regarding glyphosate</w:t>
      </w:r>
      <w:r>
        <w:rPr>
          <w:rFonts w:ascii="Times New Roman" w:hAnsi="Times New Roman" w:cs="Times New Roman"/>
          <w:color w:val="000000"/>
          <w:sz w:val="20"/>
        </w:rPr>
        <w:t>’</w:t>
      </w:r>
      <w:r>
        <w:rPr>
          <w:rFonts w:ascii="Times New Roman" w:hAnsi="Times New Roman" w:cs="Times New Roman"/>
          <w:color w:val="000000"/>
          <w:sz w:val="20"/>
        </w:rPr>
        <w:t xml:space="preserve">s </w:t>
      </w:r>
      <w:r>
        <w:rPr>
          <w:rFonts w:ascii="Times New Roman" w:hAnsi="Times New Roman" w:cs="Times New Roman"/>
          <w:color w:val="0000FF"/>
          <w:sz w:val="20"/>
        </w:rPr>
        <w:t>genotoxicity</w:t>
      </w:r>
      <w:r>
        <w:rPr>
          <w:rFonts w:ascii="Times New Roman" w:hAnsi="Times New Roman" w:cs="Times New Roman"/>
          <w:color w:val="000000"/>
          <w:sz w:val="20"/>
        </w:rPr>
        <w:t xml:space="preserve"> and believed the studies </w:t>
      </w:r>
      <w:r>
        <w:rPr>
          <w:rFonts w:ascii="Times New Roman" w:hAnsi="Times New Roman" w:cs="Times New Roman"/>
          <w:color w:val="000000"/>
          <w:sz w:val="20"/>
        </w:rPr>
        <w:t>“</w:t>
      </w:r>
      <w:r>
        <w:rPr>
          <w:rFonts w:ascii="Times New Roman" w:hAnsi="Times New Roman" w:cs="Times New Roman"/>
          <w:color w:val="000000"/>
          <w:sz w:val="20"/>
        </w:rPr>
        <w:t>needed attention</w:t>
      </w:r>
      <w:r>
        <w:rPr>
          <w:rFonts w:ascii="Times New Roman" w:hAnsi="Times New Roman" w:cs="Times New Roman"/>
          <w:color w:val="000000"/>
          <w:sz w:val="20"/>
        </w:rPr>
        <w:t>”</w:t>
      </w:r>
      <w:r>
        <w:rPr>
          <w:rFonts w:ascii="Times New Roman" w:hAnsi="Times New Roman" w:cs="Times New Roman"/>
          <w:color w:val="000000"/>
          <w:sz w:val="20"/>
        </w:rPr>
        <w:t xml:space="preserve"> because they represented </w:t>
      </w:r>
      <w:r>
        <w:rPr>
          <w:rFonts w:ascii="Times New Roman" w:hAnsi="Times New Roman" w:cs="Times New Roman"/>
          <w:color w:val="000000"/>
          <w:sz w:val="20"/>
        </w:rPr>
        <w:t>“</w:t>
      </w:r>
      <w:r>
        <w:rPr>
          <w:rFonts w:ascii="Times New Roman" w:hAnsi="Times New Roman" w:cs="Times New Roman"/>
          <w:color w:val="000000"/>
          <w:sz w:val="20"/>
        </w:rPr>
        <w:t>a new type of finding.</w:t>
      </w:r>
      <w:r>
        <w:rPr>
          <w:rFonts w:ascii="Times New Roman" w:hAnsi="Times New Roman" w:cs="Times New Roman"/>
          <w:color w:val="000000"/>
          <w:sz w:val="20"/>
        </w:rPr>
        <w:t>”</w:t>
      </w:r>
      <w:r>
        <w:rPr>
          <w:rFonts w:ascii="Times New Roman" w:hAnsi="Times New Roman" w:cs="Times New Roman"/>
          <w:color w:val="000000"/>
          <w:sz w:val="20"/>
        </w:rPr>
        <w:t xml:space="preserve"> Monsanto consulted with a </w:t>
      </w:r>
      <w:r>
        <w:rPr>
          <w:rFonts w:ascii="Times New Roman" w:hAnsi="Times New Roman" w:cs="Times New Roman"/>
          <w:color w:val="0000FF"/>
          <w:sz w:val="20"/>
        </w:rPr>
        <w:t>genotoxicity</w:t>
      </w:r>
      <w:r>
        <w:rPr>
          <w:rFonts w:ascii="Times New Roman" w:hAnsi="Times New Roman" w:cs="Times New Roman"/>
          <w:color w:val="000000"/>
          <w:sz w:val="20"/>
        </w:rPr>
        <w:t xml:space="preserve"> expert to review the four studies. In February 1999 the expert reported that there</w:t>
      </w:r>
      <w:r>
        <w:rPr>
          <w:rFonts w:ascii="Times New Roman" w:hAnsi="Times New Roman" w:cs="Times New Roman"/>
          <w:color w:val="000000"/>
          <w:sz w:val="20"/>
        </w:rPr>
        <w:t xml:space="preserve"> was evidence of a possible genotoxic effect for both glyphosate and Roundup. The expert ultimately wrote three reports for Monsanto and recommended that further tests be conducted.</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The evidence at trial was mixed as to whether Monsanto adequately follow</w:t>
      </w:r>
      <w:r>
        <w:rPr>
          <w:rFonts w:ascii="Times New Roman" w:hAnsi="Times New Roman" w:cs="Times New Roman"/>
          <w:color w:val="000000"/>
          <w:sz w:val="20"/>
        </w:rPr>
        <w:t>ed up on the expert</w:t>
      </w:r>
      <w:r>
        <w:rPr>
          <w:rFonts w:ascii="Times New Roman" w:hAnsi="Times New Roman" w:cs="Times New Roman"/>
          <w:color w:val="000000"/>
          <w:sz w:val="20"/>
        </w:rPr>
        <w:t>’</w:t>
      </w:r>
      <w:r>
        <w:rPr>
          <w:rFonts w:ascii="Times New Roman" w:hAnsi="Times New Roman" w:cs="Times New Roman"/>
          <w:color w:val="000000"/>
          <w:sz w:val="20"/>
        </w:rPr>
        <w:t xml:space="preserve">s recommendation, and the parties have continued to argue this point through oral argument in this court. In September 1999, a Monsanto toxicologist wrote an internal email stating that Monsanto </w:t>
      </w:r>
      <w:r>
        <w:rPr>
          <w:rFonts w:ascii="Times New Roman" w:hAnsi="Times New Roman" w:cs="Times New Roman"/>
          <w:color w:val="000000"/>
          <w:sz w:val="20"/>
        </w:rPr>
        <w:t>“</w:t>
      </w:r>
      <w:r>
        <w:rPr>
          <w:rFonts w:ascii="Times New Roman" w:hAnsi="Times New Roman" w:cs="Times New Roman"/>
          <w:color w:val="000000"/>
          <w:sz w:val="20"/>
        </w:rPr>
        <w:t>want[s] to find/develop someone who is c</w:t>
      </w:r>
      <w:r>
        <w:rPr>
          <w:rFonts w:ascii="Times New Roman" w:hAnsi="Times New Roman" w:cs="Times New Roman"/>
          <w:color w:val="000000"/>
          <w:sz w:val="20"/>
        </w:rPr>
        <w:t>omfortable with the genotox profile of glyphosate/Roundup and who can be influential with regulators and Scientific Outreach operations when genotox[ ] issues arise. My read is that [the expert who wrote the 1999 reports] is not currently such a person, an</w:t>
      </w:r>
      <w:r>
        <w:rPr>
          <w:rFonts w:ascii="Times New Roman" w:hAnsi="Times New Roman" w:cs="Times New Roman"/>
          <w:color w:val="000000"/>
          <w:sz w:val="20"/>
        </w:rPr>
        <w:t>d it would take quite some time and $$$/studies to get him there. We simply aren</w:t>
      </w:r>
      <w:r>
        <w:rPr>
          <w:rFonts w:ascii="Times New Roman" w:hAnsi="Times New Roman" w:cs="Times New Roman"/>
          <w:color w:val="000000"/>
          <w:sz w:val="20"/>
        </w:rPr>
        <w:t>’</w:t>
      </w:r>
      <w:r>
        <w:rPr>
          <w:rFonts w:ascii="Times New Roman" w:hAnsi="Times New Roman" w:cs="Times New Roman"/>
          <w:color w:val="000000"/>
          <w:sz w:val="20"/>
        </w:rPr>
        <w:t xml:space="preserve">t going to do </w:t>
      </w:r>
      <w:r>
        <w:rPr>
          <w:rFonts w:ascii="Times New Roman" w:hAnsi="Times New Roman" w:cs="Times New Roman"/>
          <w:color w:val="000000"/>
          <w:sz w:val="20"/>
        </w:rPr>
        <w:lastRenderedPageBreak/>
        <w:t>the studies that [the expert] suggests.</w:t>
      </w:r>
      <w:r>
        <w:rPr>
          <w:rFonts w:ascii="Times New Roman" w:hAnsi="Times New Roman" w:cs="Times New Roman"/>
          <w:color w:val="000000"/>
          <w:sz w:val="20"/>
        </w:rPr>
        <w:t>”</w:t>
      </w:r>
      <w:r>
        <w:rPr>
          <w:rFonts w:ascii="Times New Roman" w:hAnsi="Times New Roman" w:cs="Times New Roman"/>
          <w:color w:val="000000"/>
          <w:sz w:val="20"/>
        </w:rPr>
        <w:t xml:space="preserve"> Referring to the potential </w:t>
      </w:r>
      <w:r>
        <w:rPr>
          <w:rFonts w:ascii="Times New Roman" w:hAnsi="Times New Roman" w:cs="Times New Roman"/>
          <w:color w:val="0000FF"/>
          <w:sz w:val="20"/>
        </w:rPr>
        <w:t>genotoxicity</w:t>
      </w:r>
      <w:r>
        <w:rPr>
          <w:rFonts w:ascii="Times New Roman" w:hAnsi="Times New Roman" w:cs="Times New Roman"/>
          <w:color w:val="000000"/>
          <w:sz w:val="20"/>
        </w:rPr>
        <w:t xml:space="preserve"> of glyphosate and Roundup, the email also stated, </w:t>
      </w:r>
      <w:r>
        <w:rPr>
          <w:rFonts w:ascii="Times New Roman" w:hAnsi="Times New Roman" w:cs="Times New Roman"/>
          <w:color w:val="000000"/>
          <w:sz w:val="20"/>
        </w:rPr>
        <w:t>“</w:t>
      </w:r>
      <w:r>
        <w:rPr>
          <w:rFonts w:ascii="Times New Roman" w:hAnsi="Times New Roman" w:cs="Times New Roman"/>
          <w:color w:val="000000"/>
          <w:sz w:val="20"/>
        </w:rPr>
        <w:t>We have not made much progres</w:t>
      </w:r>
      <w:r>
        <w:rPr>
          <w:rFonts w:ascii="Times New Roman" w:hAnsi="Times New Roman" w:cs="Times New Roman"/>
          <w:color w:val="000000"/>
          <w:sz w:val="20"/>
        </w:rPr>
        <w:t>s and are currently very vulnerable in this area.</w:t>
      </w:r>
      <w:r>
        <w:rPr>
          <w:rFonts w:ascii="Times New Roman" w:hAnsi="Times New Roman" w:cs="Times New Roman"/>
          <w:color w:val="000000"/>
          <w:sz w:val="20"/>
        </w:rPr>
        <w:t>”</w:t>
      </w:r>
      <w:r>
        <w:rPr>
          <w:rFonts w:ascii="Times New Roman" w:hAnsi="Times New Roman" w:cs="Times New Roman"/>
          <w:color w:val="000000"/>
          <w:sz w:val="20"/>
        </w:rPr>
        <w:t xml:space="preserve"> Although some additional testing was ultimately done, the parties dispute its extent and adequacy. Monsanto has consistently defended itself by claiming that the </w:t>
      </w:r>
      <w:r>
        <w:rPr>
          <w:rFonts w:ascii="Times New Roman" w:hAnsi="Times New Roman" w:cs="Times New Roman"/>
          <w:color w:val="000000"/>
          <w:sz w:val="20"/>
        </w:rPr>
        <w:t>“</w:t>
      </w:r>
      <w:r>
        <w:rPr>
          <w:rFonts w:ascii="Times New Roman" w:hAnsi="Times New Roman" w:cs="Times New Roman"/>
          <w:color w:val="000000"/>
          <w:sz w:val="20"/>
        </w:rPr>
        <w:t>regulatory consensus</w:t>
      </w:r>
      <w:r>
        <w:rPr>
          <w:rFonts w:ascii="Times New Roman" w:hAnsi="Times New Roman" w:cs="Times New Roman"/>
          <w:color w:val="000000"/>
          <w:sz w:val="20"/>
        </w:rPr>
        <w:t>”</w:t>
      </w:r>
      <w:r>
        <w:rPr>
          <w:rFonts w:ascii="Times New Roman" w:hAnsi="Times New Roman" w:cs="Times New Roman"/>
          <w:color w:val="000000"/>
          <w:sz w:val="20"/>
        </w:rPr>
        <w:t xml:space="preserve"> is that glyphosate i</w:t>
      </w:r>
      <w:r>
        <w:rPr>
          <w:rFonts w:ascii="Times New Roman" w:hAnsi="Times New Roman" w:cs="Times New Roman"/>
          <w:color w:val="000000"/>
          <w:sz w:val="20"/>
        </w:rPr>
        <w:t>s safe.</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8" w:name="co_anchor_I2f1c0901cad611eaad728cad1da01"/>
      <w:bookmarkEnd w:id="8"/>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400"/>
        <w:ind w:left="200"/>
        <w:rPr>
          <w:rFonts w:ascii="Times New Roman" w:hAnsi="Times New Roman" w:cs="Times New Roman"/>
          <w:i/>
          <w:color w:val="000000"/>
          <w:sz w:val="20"/>
        </w:rPr>
      </w:pPr>
      <w:r>
        <w:rPr>
          <w:rFonts w:ascii="Times New Roman" w:hAnsi="Times New Roman" w:cs="Times New Roman"/>
          <w:i/>
          <w:color w:val="000000"/>
          <w:sz w:val="20"/>
        </w:rPr>
        <w:t>B. Johnson</w:t>
      </w:r>
      <w:r>
        <w:rPr>
          <w:rFonts w:ascii="Times New Roman" w:hAnsi="Times New Roman" w:cs="Times New Roman"/>
          <w:i/>
          <w:color w:val="000000"/>
          <w:sz w:val="20"/>
        </w:rPr>
        <w:t>’</w:t>
      </w:r>
      <w:r>
        <w:rPr>
          <w:rFonts w:ascii="Times New Roman" w:hAnsi="Times New Roman" w:cs="Times New Roman"/>
          <w:i/>
          <w:color w:val="000000"/>
          <w:sz w:val="20"/>
        </w:rPr>
        <w:t xml:space="preserve">s Heavy Use of Roundup Products and </w:t>
      </w:r>
      <w:r>
        <w:rPr>
          <w:rFonts w:ascii="Times New Roman" w:hAnsi="Times New Roman" w:cs="Times New Roman"/>
          <w:i/>
          <w:color w:val="0000FF"/>
          <w:sz w:val="20"/>
        </w:rPr>
        <w:t>Cancer Diagnosis</w:t>
      </w:r>
      <w:r>
        <w:rPr>
          <w:rFonts w:ascii="Times New Roman" w:hAnsi="Times New Roman" w:cs="Times New Roman"/>
          <w:i/>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bookmarkStart w:id="9" w:name="co_pp_sp_999_2_1"/>
      <w:bookmarkEnd w:id="9"/>
      <w:r>
        <w:rPr>
          <w:rFonts w:ascii="Times New Roman" w:hAnsi="Times New Roman" w:cs="Times New Roman"/>
          <w:b/>
          <w:color w:val="000000"/>
          <w:sz w:val="20"/>
        </w:rPr>
        <w:t>*2</w:t>
      </w:r>
      <w:r>
        <w:rPr>
          <w:rFonts w:ascii="Times New Roman" w:hAnsi="Times New Roman" w:cs="Times New Roman"/>
          <w:color w:val="000000"/>
          <w:sz w:val="20"/>
        </w:rPr>
        <w:t xml:space="preserve"> Johnson began working for the Benicia Unified School District in</w:t>
      </w:r>
      <w:r>
        <w:rPr>
          <w:rFonts w:ascii="Times New Roman" w:hAnsi="Times New Roman" w:cs="Times New Roman"/>
          <w:color w:val="000000"/>
          <w:sz w:val="20"/>
        </w:rPr>
        <w:t xml:space="preserve"> June 2012. He started as a delivery driver but quickly became the district</w:t>
      </w:r>
      <w:r>
        <w:rPr>
          <w:rFonts w:ascii="Times New Roman" w:hAnsi="Times New Roman" w:cs="Times New Roman"/>
          <w:color w:val="000000"/>
          <w:sz w:val="20"/>
        </w:rPr>
        <w:t>’</w:t>
      </w:r>
      <w:r>
        <w:rPr>
          <w:rFonts w:ascii="Times New Roman" w:hAnsi="Times New Roman" w:cs="Times New Roman"/>
          <w:color w:val="000000"/>
          <w:sz w:val="20"/>
        </w:rPr>
        <w:t>s grounds integrated pest manager. As part of his duties he sprayed Roundup products to control weeds on school properties.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Johnson obtained a qualified-applicator certificate, a</w:t>
      </w:r>
      <w:r>
        <w:rPr>
          <w:rFonts w:ascii="Times New Roman" w:hAnsi="Times New Roman" w:cs="Times New Roman"/>
          <w:color w:val="000000"/>
          <w:sz w:val="20"/>
        </w:rPr>
        <w:t>nd as part of his instruction he learned rules and regulations about mixing herbicides. He also learned how to use Ranger Pro specifically and was certified to use it. Johnson reviewed the Ranger Pro label each time he used the product to ensure he was mix</w:t>
      </w:r>
      <w:r>
        <w:rPr>
          <w:rFonts w:ascii="Times New Roman" w:hAnsi="Times New Roman" w:cs="Times New Roman"/>
          <w:color w:val="000000"/>
          <w:sz w:val="20"/>
        </w:rPr>
        <w:t xml:space="preserve">ing the product correctly based on the types of weeds he planned to spray. Although the label cautioned that the product was an eye irritant, it did not say anything about the product being possibly linked to </w:t>
      </w:r>
      <w:r>
        <w:rPr>
          <w:rFonts w:ascii="Times New Roman" w:hAnsi="Times New Roman" w:cs="Times New Roman"/>
          <w:color w:val="0000FF"/>
          <w:sz w:val="20"/>
        </w:rPr>
        <w:t>cancer</w:t>
      </w:r>
      <w:r>
        <w:rPr>
          <w:rFonts w:ascii="Times New Roman" w:hAnsi="Times New Roman" w:cs="Times New Roman"/>
          <w:color w:val="000000"/>
          <w:sz w:val="20"/>
        </w:rPr>
        <w:t>. An expert at trial testified that the R</w:t>
      </w:r>
      <w:r>
        <w:rPr>
          <w:rFonts w:ascii="Times New Roman" w:hAnsi="Times New Roman" w:cs="Times New Roman"/>
          <w:color w:val="000000"/>
          <w:sz w:val="20"/>
        </w:rPr>
        <w:t xml:space="preserve">anger Pro label instructs users not to use the product in a way that it would come into contact with workers, either directly or through </w:t>
      </w:r>
      <w:r>
        <w:rPr>
          <w:rFonts w:ascii="Times New Roman" w:hAnsi="Times New Roman" w:cs="Times New Roman"/>
          <w:color w:val="000000"/>
          <w:sz w:val="20"/>
        </w:rPr>
        <w:t>“</w:t>
      </w:r>
      <w:r>
        <w:rPr>
          <w:rFonts w:ascii="Times New Roman" w:hAnsi="Times New Roman" w:cs="Times New Roman"/>
          <w:color w:val="000000"/>
          <w:sz w:val="20"/>
        </w:rPr>
        <w:t>drift.</w:t>
      </w:r>
      <w:r>
        <w:rPr>
          <w:rFonts w:ascii="Times New Roman" w:hAnsi="Times New Roman" w:cs="Times New Roman"/>
          <w:color w:val="000000"/>
          <w:sz w:val="20"/>
        </w:rPr>
        <w:t>”</w:t>
      </w:r>
      <w:bookmarkStart w:id="10" w:name="co_fnRef_B00022051484338_ID0E6IAC_1"/>
      <w:bookmarkEnd w:id="10"/>
      <w:r>
        <w:rPr>
          <w:rFonts w:ascii="Times New Roman" w:hAnsi="Times New Roman" w:cs="Times New Roman"/>
          <w:color w:val="0000FF"/>
          <w:sz w:val="16"/>
          <w:vertAlign w:val="superscript"/>
        </w:rPr>
        <w:t>1</w:t>
      </w:r>
      <w:r>
        <w:rPr>
          <w:rFonts w:ascii="Times New Roman" w:hAnsi="Times New Roman" w:cs="Times New Roman"/>
          <w:color w:val="000000"/>
          <w:sz w:val="20"/>
        </w:rPr>
        <w:t xml:space="preserve"> The expert noted that Johnson followed </w:t>
      </w:r>
      <w:r>
        <w:rPr>
          <w:rFonts w:ascii="Times New Roman" w:hAnsi="Times New Roman" w:cs="Times New Roman"/>
          <w:color w:val="000000"/>
          <w:sz w:val="20"/>
        </w:rPr>
        <w:t>those instructions by spraying early in the morning, when people were not around and winds tended to be calm.</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At first, Johnson used Roundup Pro, but he eventually switched to Ranger Pro, which he understood to be more potent and better suited for larger</w:t>
      </w:r>
      <w:r>
        <w:rPr>
          <w:rFonts w:ascii="Times New Roman" w:hAnsi="Times New Roman" w:cs="Times New Roman"/>
          <w:color w:val="000000"/>
          <w:sz w:val="20"/>
        </w:rPr>
        <w:t xml:space="preserve"> areas. He would pour bottles of Ranger Pro into a 50-gallon drum, mix the product with water and an antifoam agent, and then apply the mix from a truck-mounted sprayer onto hillsides, school perimeters, parking lots, sports fields, and other large areas. </w:t>
      </w:r>
      <w:r>
        <w:rPr>
          <w:rFonts w:ascii="Times New Roman" w:hAnsi="Times New Roman" w:cs="Times New Roman"/>
          <w:color w:val="000000"/>
          <w:sz w:val="20"/>
        </w:rPr>
        <w:t>Johnson wore a full-body protective Tyvek suit, chemical-resistant rubber gloves and boots, eye goggles, and a paper mask when he was spraying Ranger Pro. Still, about 80 percent of the time some of the spray would drift to his face, cheeks, ears, and neck</w:t>
      </w:r>
      <w:r>
        <w:rPr>
          <w:rFonts w:ascii="Times New Roman" w:hAnsi="Times New Roman" w:cs="Times New Roman"/>
          <w:color w:val="000000"/>
          <w:sz w:val="20"/>
        </w:rPr>
        <w:t>, depending on how windy it was. During the school year, Johnson sprayed for two to three hours per week day, spraying up to 150 gallons of Ranger Pro. He also occasionally sprayed on weekends, and on summer days he sometimes sprayed for four or five hours</w:t>
      </w:r>
      <w:r>
        <w:rPr>
          <w:rFonts w:ascii="Times New Roman" w:hAnsi="Times New Roman" w:cs="Times New Roman"/>
          <w:color w:val="000000"/>
          <w:sz w:val="20"/>
        </w:rPr>
        <w:t xml:space="preserve">, when his crew would </w:t>
      </w:r>
      <w:r>
        <w:rPr>
          <w:rFonts w:ascii="Times New Roman" w:hAnsi="Times New Roman" w:cs="Times New Roman"/>
          <w:color w:val="000000"/>
          <w:sz w:val="20"/>
        </w:rPr>
        <w:t>“</w:t>
      </w:r>
      <w:r>
        <w:rPr>
          <w:rFonts w:ascii="Times New Roman" w:hAnsi="Times New Roman" w:cs="Times New Roman"/>
          <w:color w:val="000000"/>
          <w:sz w:val="20"/>
        </w:rPr>
        <w:t>go hard</w:t>
      </w:r>
      <w:r>
        <w:rPr>
          <w:rFonts w:ascii="Times New Roman" w:hAnsi="Times New Roman" w:cs="Times New Roman"/>
          <w:color w:val="000000"/>
          <w:sz w:val="20"/>
        </w:rPr>
        <w:t>”</w:t>
      </w:r>
      <w:r>
        <w:rPr>
          <w:rFonts w:ascii="Times New Roman" w:hAnsi="Times New Roman" w:cs="Times New Roman"/>
          <w:color w:val="000000"/>
          <w:sz w:val="20"/>
        </w:rPr>
        <w:t xml:space="preserve"> because </w:t>
      </w:r>
      <w:r>
        <w:rPr>
          <w:rFonts w:ascii="Times New Roman" w:hAnsi="Times New Roman" w:cs="Times New Roman"/>
          <w:color w:val="000000"/>
          <w:sz w:val="20"/>
        </w:rPr>
        <w:t>“</w:t>
      </w:r>
      <w:r>
        <w:rPr>
          <w:rFonts w:ascii="Times New Roman" w:hAnsi="Times New Roman" w:cs="Times New Roman"/>
          <w:color w:val="000000"/>
          <w:sz w:val="20"/>
        </w:rPr>
        <w:t>it was the time to do it.</w:t>
      </w:r>
      <w:r>
        <w:rPr>
          <w:rFonts w:ascii="Times New Roman" w:hAnsi="Times New Roman" w:cs="Times New Roman"/>
          <w:color w:val="000000"/>
          <w:sz w:val="20"/>
        </w:rPr>
        <w:t>”</w:t>
      </w:r>
      <w:r>
        <w:rPr>
          <w:rFonts w:ascii="Times New Roman" w:hAnsi="Times New Roman" w:cs="Times New Roman"/>
          <w:color w:val="000000"/>
          <w:sz w:val="20"/>
        </w:rPr>
        <w:t xml:space="preserve"> Johnson did not use Roundup products before he worked for the school district, and he did not use other chemicals while employed there.</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In April 2014, Johnson had a </w:t>
      </w:r>
      <w:r>
        <w:rPr>
          <w:rFonts w:ascii="Times New Roman" w:hAnsi="Times New Roman" w:cs="Times New Roman"/>
          <w:color w:val="000000"/>
          <w:sz w:val="20"/>
        </w:rPr>
        <w:t>“</w:t>
      </w:r>
      <w:r>
        <w:rPr>
          <w:rFonts w:ascii="Times New Roman" w:hAnsi="Times New Roman" w:cs="Times New Roman"/>
          <w:color w:val="000000"/>
          <w:sz w:val="20"/>
        </w:rPr>
        <w:t>pretty bad exposure</w:t>
      </w:r>
      <w:r>
        <w:rPr>
          <w:rFonts w:ascii="Times New Roman" w:hAnsi="Times New Roman" w:cs="Times New Roman"/>
          <w:color w:val="000000"/>
          <w:sz w:val="20"/>
        </w:rPr>
        <w:t>”</w:t>
      </w:r>
      <w:r>
        <w:rPr>
          <w:rFonts w:ascii="Times New Roman" w:hAnsi="Times New Roman" w:cs="Times New Roman"/>
          <w:color w:val="000000"/>
          <w:sz w:val="20"/>
        </w:rPr>
        <w:t xml:space="preserve"> to Ranger Pro. While spraying at a school, the hose to his truck became caught in a gap in the sidewalk, broke, and started </w:t>
      </w:r>
      <w:r>
        <w:rPr>
          <w:rFonts w:ascii="Times New Roman" w:hAnsi="Times New Roman" w:cs="Times New Roman"/>
          <w:color w:val="000000"/>
          <w:sz w:val="20"/>
        </w:rPr>
        <w:t>“</w:t>
      </w:r>
      <w:r>
        <w:rPr>
          <w:rFonts w:ascii="Times New Roman" w:hAnsi="Times New Roman" w:cs="Times New Roman"/>
          <w:color w:val="000000"/>
          <w:sz w:val="20"/>
        </w:rPr>
        <w:t>shooting fluid everywhere.</w:t>
      </w:r>
      <w:r>
        <w:rPr>
          <w:rFonts w:ascii="Times New Roman" w:hAnsi="Times New Roman" w:cs="Times New Roman"/>
          <w:color w:val="000000"/>
          <w:sz w:val="20"/>
        </w:rPr>
        <w:t>”</w:t>
      </w:r>
      <w:r>
        <w:rPr>
          <w:rFonts w:ascii="Times New Roman" w:hAnsi="Times New Roman" w:cs="Times New Roman"/>
          <w:color w:val="000000"/>
          <w:sz w:val="20"/>
        </w:rPr>
        <w:t xml:space="preserve"> Ranger Pro got inside his protective gear and onto his clothes down to his waist, soaking his skin, fa</w:t>
      </w:r>
      <w:r>
        <w:rPr>
          <w:rFonts w:ascii="Times New Roman" w:hAnsi="Times New Roman" w:cs="Times New Roman"/>
          <w:color w:val="000000"/>
          <w:sz w:val="20"/>
        </w:rPr>
        <w:t>ce, neck, and head. He cleaned himself as best he could at a sink at the maintenance yard.</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Johnson saw his physician in late July 2014 and reported that he had started to develop a rash the previous month or so. He was prescribed a topical cream. His con</w:t>
      </w:r>
      <w:r>
        <w:rPr>
          <w:rFonts w:ascii="Times New Roman" w:hAnsi="Times New Roman" w:cs="Times New Roman"/>
          <w:color w:val="000000"/>
          <w:sz w:val="20"/>
        </w:rPr>
        <w:t xml:space="preserve">dition did not improve, his skin </w:t>
      </w:r>
      <w:r>
        <w:rPr>
          <w:rFonts w:ascii="Times New Roman" w:hAnsi="Times New Roman" w:cs="Times New Roman"/>
          <w:color w:val="000000"/>
          <w:sz w:val="20"/>
        </w:rPr>
        <w:t>“</w:t>
      </w:r>
      <w:r>
        <w:rPr>
          <w:rFonts w:ascii="Times New Roman" w:hAnsi="Times New Roman" w:cs="Times New Roman"/>
          <w:color w:val="000000"/>
          <w:sz w:val="20"/>
        </w:rPr>
        <w:t>really got crazy and out of whack,</w:t>
      </w:r>
      <w:r>
        <w:rPr>
          <w:rFonts w:ascii="Times New Roman" w:hAnsi="Times New Roman" w:cs="Times New Roman"/>
          <w:color w:val="000000"/>
          <w:sz w:val="20"/>
        </w:rPr>
        <w:t>”</w:t>
      </w:r>
      <w:r>
        <w:rPr>
          <w:rFonts w:ascii="Times New Roman" w:hAnsi="Times New Roman" w:cs="Times New Roman"/>
          <w:color w:val="000000"/>
          <w:sz w:val="20"/>
        </w:rPr>
        <w:t xml:space="preserve"> and the rash started to spread. He went to Kaiser</w:t>
      </w:r>
      <w:r>
        <w:rPr>
          <w:rFonts w:ascii="Times New Roman" w:hAnsi="Times New Roman" w:cs="Times New Roman"/>
          <w:color w:val="000000"/>
          <w:sz w:val="20"/>
        </w:rPr>
        <w:t>’</w:t>
      </w:r>
      <w:r>
        <w:rPr>
          <w:rFonts w:ascii="Times New Roman" w:hAnsi="Times New Roman" w:cs="Times New Roman"/>
          <w:color w:val="000000"/>
          <w:sz w:val="20"/>
        </w:rPr>
        <w:t>s dermatology department in August and was referred to a dermatologist who saw Johnson in October 2014. Johnson was diagnosed that month</w:t>
      </w:r>
      <w:r>
        <w:rPr>
          <w:rFonts w:ascii="Times New Roman" w:hAnsi="Times New Roman" w:cs="Times New Roman"/>
          <w:color w:val="000000"/>
          <w:sz w:val="20"/>
        </w:rPr>
        <w:t xml:space="preserve"> with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a type of </w:t>
      </w:r>
      <w:r>
        <w:rPr>
          <w:rFonts w:ascii="Times New Roman" w:hAnsi="Times New Roman" w:cs="Times New Roman"/>
          <w:color w:val="0000FF"/>
          <w:sz w:val="20"/>
        </w:rPr>
        <w:t>cancer</w:t>
      </w:r>
      <w:r>
        <w:rPr>
          <w:rFonts w:ascii="Times New Roman" w:hAnsi="Times New Roman" w:cs="Times New Roman"/>
          <w:color w:val="000000"/>
          <w:sz w:val="20"/>
        </w:rPr>
        <w:t xml:space="preserve"> that affects lymph nodes but also may affect other organs, including the skin.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is a </w:t>
      </w:r>
      <w:r>
        <w:rPr>
          <w:rFonts w:ascii="Times New Roman" w:hAnsi="Times New Roman" w:cs="Times New Roman"/>
          <w:color w:val="000000"/>
          <w:sz w:val="20"/>
        </w:rPr>
        <w:t>“</w:t>
      </w:r>
      <w:r>
        <w:rPr>
          <w:rFonts w:ascii="Times New Roman" w:hAnsi="Times New Roman" w:cs="Times New Roman"/>
          <w:color w:val="000000"/>
          <w:sz w:val="20"/>
        </w:rPr>
        <w:t>large umbrella</w:t>
      </w:r>
      <w:r>
        <w:rPr>
          <w:rFonts w:ascii="Times New Roman" w:hAnsi="Times New Roman" w:cs="Times New Roman"/>
          <w:color w:val="000000"/>
          <w:sz w:val="20"/>
        </w:rPr>
        <w:t>”</w:t>
      </w:r>
      <w:r>
        <w:rPr>
          <w:rFonts w:ascii="Times New Roman" w:hAnsi="Times New Roman" w:cs="Times New Roman"/>
          <w:color w:val="000000"/>
          <w:sz w:val="20"/>
        </w:rPr>
        <w:t xml:space="preserve"> type of </w:t>
      </w:r>
      <w:r>
        <w:rPr>
          <w:rFonts w:ascii="Times New Roman" w:hAnsi="Times New Roman" w:cs="Times New Roman"/>
          <w:color w:val="0000FF"/>
          <w:sz w:val="20"/>
        </w:rPr>
        <w:t>cancer</w:t>
      </w:r>
      <w:r>
        <w:rPr>
          <w:rFonts w:ascii="Times New Roman" w:hAnsi="Times New Roman" w:cs="Times New Roman"/>
          <w:color w:val="000000"/>
          <w:sz w:val="20"/>
        </w:rPr>
        <w:t xml:space="preserve">, with at least 60 subtypes or classifications. Johnson suffers from the </w:t>
      </w:r>
      <w:r>
        <w:rPr>
          <w:rFonts w:ascii="Times New Roman" w:hAnsi="Times New Roman" w:cs="Times New Roman"/>
          <w:color w:val="0000FF"/>
          <w:sz w:val="20"/>
        </w:rPr>
        <w:t>mycosis fungoides</w:t>
      </w:r>
      <w:r>
        <w:rPr>
          <w:rFonts w:ascii="Times New Roman" w:hAnsi="Times New Roman" w:cs="Times New Roman"/>
          <w:color w:val="000000"/>
          <w:sz w:val="20"/>
        </w:rPr>
        <w:t xml:space="preserve"> classification, one of the rarest forms of the disease.</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11" w:name="co_pp_sp_999_3_1"/>
      <w:bookmarkEnd w:id="11"/>
      <w:r>
        <w:rPr>
          <w:rFonts w:ascii="Times New Roman" w:hAnsi="Times New Roman" w:cs="Times New Roman"/>
          <w:b/>
          <w:color w:val="000000"/>
          <w:sz w:val="20"/>
        </w:rPr>
        <w:t>*3</w:t>
      </w:r>
      <w:r>
        <w:rPr>
          <w:rFonts w:ascii="Times New Roman" w:hAnsi="Times New Roman" w:cs="Times New Roman"/>
          <w:color w:val="000000"/>
          <w:sz w:val="20"/>
        </w:rPr>
        <w:t xml:space="preserve"> In November 2014, as his skin continued to get worse, Johnson called a Monsanto hotline at a number he got from a bottle of Roundup. He wanted to find out if his skin condition could be related to his large exposure to Ranger Pro. He spoke with </w:t>
      </w:r>
      <w:r>
        <w:rPr>
          <w:rFonts w:ascii="Times New Roman" w:hAnsi="Times New Roman" w:cs="Times New Roman"/>
          <w:color w:val="000000"/>
          <w:sz w:val="20"/>
        </w:rPr>
        <w:t>“</w:t>
      </w:r>
      <w:r>
        <w:rPr>
          <w:rFonts w:ascii="Times New Roman" w:hAnsi="Times New Roman" w:cs="Times New Roman"/>
          <w:color w:val="000000"/>
          <w:sz w:val="20"/>
        </w:rPr>
        <w:t>a very ni</w:t>
      </w:r>
      <w:r>
        <w:rPr>
          <w:rFonts w:ascii="Times New Roman" w:hAnsi="Times New Roman" w:cs="Times New Roman"/>
          <w:color w:val="000000"/>
          <w:sz w:val="20"/>
        </w:rPr>
        <w:t>ce lady</w:t>
      </w:r>
      <w:r>
        <w:rPr>
          <w:rFonts w:ascii="Times New Roman" w:hAnsi="Times New Roman" w:cs="Times New Roman"/>
          <w:color w:val="000000"/>
          <w:sz w:val="20"/>
        </w:rPr>
        <w:t>”</w:t>
      </w:r>
      <w:r>
        <w:rPr>
          <w:rFonts w:ascii="Times New Roman" w:hAnsi="Times New Roman" w:cs="Times New Roman"/>
          <w:color w:val="000000"/>
          <w:sz w:val="20"/>
        </w:rPr>
        <w:t xml:space="preserve"> and told her about the hose break he experienced earlier in the year. He specifically asked the representative whether Roundup products could cause </w:t>
      </w:r>
      <w:r>
        <w:rPr>
          <w:rFonts w:ascii="Times New Roman" w:hAnsi="Times New Roman" w:cs="Times New Roman"/>
          <w:color w:val="0000FF"/>
          <w:sz w:val="20"/>
        </w:rPr>
        <w:t>cancer</w:t>
      </w:r>
      <w:r>
        <w:rPr>
          <w:rFonts w:ascii="Times New Roman" w:hAnsi="Times New Roman" w:cs="Times New Roman"/>
          <w:color w:val="000000"/>
          <w:sz w:val="20"/>
        </w:rPr>
        <w:t>. The woman took a statement from Johnson and told him that someone would get back to him, bu</w:t>
      </w:r>
      <w:r>
        <w:rPr>
          <w:rFonts w:ascii="Times New Roman" w:hAnsi="Times New Roman" w:cs="Times New Roman"/>
          <w:color w:val="000000"/>
          <w:sz w:val="20"/>
        </w:rPr>
        <w:t>t no one ever did.</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Johnson also noticed something on the skin around his thigh that concerned him, and a dermatologist in January 2015 diagnosed him with </w:t>
      </w:r>
      <w:r>
        <w:rPr>
          <w:rFonts w:ascii="Times New Roman" w:hAnsi="Times New Roman" w:cs="Times New Roman"/>
          <w:color w:val="0000FF"/>
          <w:sz w:val="20"/>
        </w:rPr>
        <w:t>squamous cell cancer</w:t>
      </w:r>
      <w:r>
        <w:rPr>
          <w:rFonts w:ascii="Times New Roman" w:hAnsi="Times New Roman" w:cs="Times New Roman"/>
          <w:color w:val="000000"/>
          <w:sz w:val="20"/>
        </w:rPr>
        <w:t xml:space="preserve">, the second most common type of </w:t>
      </w:r>
      <w:r>
        <w:rPr>
          <w:rFonts w:ascii="Times New Roman" w:hAnsi="Times New Roman" w:cs="Times New Roman"/>
          <w:color w:val="0000FF"/>
          <w:sz w:val="20"/>
        </w:rPr>
        <w:t>skin cancer</w:t>
      </w:r>
      <w:r>
        <w:rPr>
          <w:rFonts w:ascii="Times New Roman" w:hAnsi="Times New Roman" w:cs="Times New Roman"/>
          <w:color w:val="000000"/>
          <w:sz w:val="20"/>
        </w:rPr>
        <w:t xml:space="preserve">. The dermatologist removed the </w:t>
      </w:r>
      <w:r>
        <w:rPr>
          <w:rFonts w:ascii="Times New Roman" w:hAnsi="Times New Roman" w:cs="Times New Roman"/>
          <w:color w:val="0000FF"/>
          <w:sz w:val="20"/>
        </w:rPr>
        <w:t>canc</w:t>
      </w:r>
      <w:r>
        <w:rPr>
          <w:rFonts w:ascii="Times New Roman" w:hAnsi="Times New Roman" w:cs="Times New Roman"/>
          <w:color w:val="0000FF"/>
          <w:sz w:val="20"/>
        </w:rPr>
        <w:t>er</w:t>
      </w:r>
      <w:r>
        <w:rPr>
          <w:rFonts w:ascii="Times New Roman" w:hAnsi="Times New Roman" w:cs="Times New Roman"/>
          <w:color w:val="000000"/>
          <w:sz w:val="20"/>
        </w:rPr>
        <w:t>. Johnson continued to suffer new lesions, and his condition worsened. He eventually developed nodules, plaques, and painful lesions all over his body.</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Johnson increasingly suspected a connection between Roundup products and his </w:t>
      </w:r>
      <w:r>
        <w:rPr>
          <w:rFonts w:ascii="Times New Roman" w:hAnsi="Times New Roman" w:cs="Times New Roman"/>
          <w:color w:val="0000FF"/>
          <w:sz w:val="20"/>
        </w:rPr>
        <w:t>cancer</w:t>
      </w:r>
      <w:r>
        <w:rPr>
          <w:rFonts w:ascii="Times New Roman" w:hAnsi="Times New Roman" w:cs="Times New Roman"/>
          <w:color w:val="000000"/>
          <w:sz w:val="20"/>
        </w:rPr>
        <w:t xml:space="preserve">. When he raised </w:t>
      </w:r>
      <w:r>
        <w:rPr>
          <w:rFonts w:ascii="Times New Roman" w:hAnsi="Times New Roman" w:cs="Times New Roman"/>
          <w:color w:val="000000"/>
          <w:sz w:val="20"/>
        </w:rPr>
        <w:t xml:space="preserve">his suspicion with his supervisor, he was told it </w:t>
      </w:r>
      <w:r>
        <w:rPr>
          <w:rFonts w:ascii="Times New Roman" w:hAnsi="Times New Roman" w:cs="Times New Roman"/>
          <w:color w:val="000000"/>
          <w:sz w:val="20"/>
        </w:rPr>
        <w:t>“</w:t>
      </w:r>
      <w:r>
        <w:rPr>
          <w:rFonts w:ascii="Times New Roman" w:hAnsi="Times New Roman" w:cs="Times New Roman"/>
          <w:color w:val="000000"/>
          <w:sz w:val="20"/>
        </w:rPr>
        <w:t xml:space="preserve">takes, like, two years for you to get </w:t>
      </w:r>
      <w:r>
        <w:rPr>
          <w:rFonts w:ascii="Times New Roman" w:hAnsi="Times New Roman" w:cs="Times New Roman"/>
          <w:color w:val="0000FF"/>
          <w:sz w:val="20"/>
        </w:rPr>
        <w:t>cancer</w:t>
      </w:r>
      <w:r>
        <w:rPr>
          <w:rFonts w:ascii="Times New Roman" w:hAnsi="Times New Roman" w:cs="Times New Roman"/>
          <w:color w:val="000000"/>
          <w:sz w:val="20"/>
        </w:rPr>
        <w:t xml:space="preserve"> from that stuff,</w:t>
      </w:r>
      <w:r>
        <w:rPr>
          <w:rFonts w:ascii="Times New Roman" w:hAnsi="Times New Roman" w:cs="Times New Roman"/>
          <w:color w:val="000000"/>
          <w:sz w:val="20"/>
        </w:rPr>
        <w:t>”</w:t>
      </w:r>
      <w:r>
        <w:rPr>
          <w:rFonts w:ascii="Times New Roman" w:hAnsi="Times New Roman" w:cs="Times New Roman"/>
          <w:color w:val="000000"/>
          <w:sz w:val="20"/>
        </w:rPr>
        <w:t xml:space="preserve"> and the </w:t>
      </w:r>
      <w:r>
        <w:rPr>
          <w:rFonts w:ascii="Times New Roman" w:hAnsi="Times New Roman" w:cs="Times New Roman"/>
          <w:color w:val="000000"/>
          <w:sz w:val="20"/>
        </w:rPr>
        <w:lastRenderedPageBreak/>
        <w:t xml:space="preserve">supervisor expressed surprise that Johnson did not previously know the products caused </w:t>
      </w:r>
      <w:r>
        <w:rPr>
          <w:rFonts w:ascii="Times New Roman" w:hAnsi="Times New Roman" w:cs="Times New Roman"/>
          <w:color w:val="0000FF"/>
          <w:sz w:val="20"/>
        </w:rPr>
        <w:t>cancer</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Johnson continued to spray Ranger Pro</w:t>
      </w:r>
      <w:r>
        <w:rPr>
          <w:rFonts w:ascii="Times New Roman" w:hAnsi="Times New Roman" w:cs="Times New Roman"/>
          <w:color w:val="000000"/>
          <w:sz w:val="20"/>
        </w:rPr>
        <w:t xml:space="preserve"> after his </w:t>
      </w:r>
      <w:r>
        <w:rPr>
          <w:rFonts w:ascii="Times New Roman" w:hAnsi="Times New Roman" w:cs="Times New Roman"/>
          <w:color w:val="0000FF"/>
          <w:sz w:val="20"/>
        </w:rPr>
        <w:t>cancer diagnosis</w:t>
      </w:r>
      <w:r>
        <w:rPr>
          <w:rFonts w:ascii="Times New Roman" w:hAnsi="Times New Roman" w:cs="Times New Roman"/>
          <w:color w:val="000000"/>
          <w:sz w:val="20"/>
        </w:rPr>
        <w:t>, but he started to use a canister mask to provide a full-face respirator. He was again directly exposed to the herbicide when he was carrying it in a backpack while spraying, and it leaked onto his back. Johnson panicked, and he</w:t>
      </w:r>
      <w:r>
        <w:rPr>
          <w:rFonts w:ascii="Times New Roman" w:hAnsi="Times New Roman" w:cs="Times New Roman"/>
          <w:color w:val="000000"/>
          <w:sz w:val="20"/>
        </w:rPr>
        <w:t xml:space="preserve"> went to the doctor immediately.</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Johnson told his dermatologist that he had again been exposed to Ranger Pro, and the following month he told her he felt </w:t>
      </w:r>
      <w:r>
        <w:rPr>
          <w:rFonts w:ascii="Times New Roman" w:hAnsi="Times New Roman" w:cs="Times New Roman"/>
          <w:color w:val="000000"/>
          <w:sz w:val="20"/>
        </w:rPr>
        <w:t>“</w:t>
      </w:r>
      <w:r>
        <w:rPr>
          <w:rFonts w:ascii="Times New Roman" w:hAnsi="Times New Roman" w:cs="Times New Roman"/>
          <w:color w:val="000000"/>
          <w:sz w:val="20"/>
        </w:rPr>
        <w:t>a little foolish</w:t>
      </w:r>
      <w:r>
        <w:rPr>
          <w:rFonts w:ascii="Times New Roman" w:hAnsi="Times New Roman" w:cs="Times New Roman"/>
          <w:color w:val="000000"/>
          <w:sz w:val="20"/>
        </w:rPr>
        <w:t>”</w:t>
      </w:r>
      <w:r>
        <w:rPr>
          <w:rFonts w:ascii="Times New Roman" w:hAnsi="Times New Roman" w:cs="Times New Roman"/>
          <w:color w:val="000000"/>
          <w:sz w:val="20"/>
        </w:rPr>
        <w:t xml:space="preserve"> continuing to use the spray and asked her if it was safe to continue to do so wit</w:t>
      </w:r>
      <w:r>
        <w:rPr>
          <w:rFonts w:ascii="Times New Roman" w:hAnsi="Times New Roman" w:cs="Times New Roman"/>
          <w:color w:val="000000"/>
          <w:sz w:val="20"/>
        </w:rPr>
        <w:t xml:space="preserve">h his skin condition. Around this time, Johnson again called Monsanto to ask if there was a possible connection between his skin condition and Roundup products, and he left a message about his rising concerns about continuing to use Ranger Pro. He said he </w:t>
      </w:r>
      <w:r>
        <w:rPr>
          <w:rFonts w:ascii="Times New Roman" w:hAnsi="Times New Roman" w:cs="Times New Roman"/>
          <w:color w:val="000000"/>
          <w:sz w:val="20"/>
        </w:rPr>
        <w:t>had used Ranger Pro for two to three years and asked whether it was safe to continue to use it. Johnson did not receive answers to his questions, and no one called him back.</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Johnson</w:t>
      </w:r>
      <w:r>
        <w:rPr>
          <w:rFonts w:ascii="Times New Roman" w:hAnsi="Times New Roman" w:cs="Times New Roman"/>
          <w:color w:val="000000"/>
          <w:sz w:val="20"/>
        </w:rPr>
        <w:t>’</w:t>
      </w:r>
      <w:r>
        <w:rPr>
          <w:rFonts w:ascii="Times New Roman" w:hAnsi="Times New Roman" w:cs="Times New Roman"/>
          <w:color w:val="000000"/>
          <w:sz w:val="20"/>
        </w:rPr>
        <w:t>s dermatologist eventually wrote to Johnson</w:t>
      </w:r>
      <w:r>
        <w:rPr>
          <w:rFonts w:ascii="Times New Roman" w:hAnsi="Times New Roman" w:cs="Times New Roman"/>
          <w:color w:val="000000"/>
          <w:sz w:val="20"/>
        </w:rPr>
        <w:t>’</w:t>
      </w:r>
      <w:r>
        <w:rPr>
          <w:rFonts w:ascii="Times New Roman" w:hAnsi="Times New Roman" w:cs="Times New Roman"/>
          <w:color w:val="000000"/>
          <w:sz w:val="20"/>
        </w:rPr>
        <w:t>s employer and asked that he</w:t>
      </w:r>
      <w:r>
        <w:rPr>
          <w:rFonts w:ascii="Times New Roman" w:hAnsi="Times New Roman" w:cs="Times New Roman"/>
          <w:color w:val="000000"/>
          <w:sz w:val="20"/>
        </w:rPr>
        <w:t xml:space="preserve"> not be exposed to any airborne environmental allergens because the exposure could worsen his condition. The school district did not take action until Johnson refused to continue spraying Roundup products. Johnson last used Roundup products in January 2016</w:t>
      </w:r>
      <w:r>
        <w:rPr>
          <w:rFonts w:ascii="Times New Roman" w:hAnsi="Times New Roman" w:cs="Times New Roman"/>
          <w:color w:val="000000"/>
          <w:sz w:val="20"/>
        </w:rPr>
        <w:t>, right before he left his job.</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Before Johnson</w:t>
      </w:r>
      <w:r>
        <w:rPr>
          <w:rFonts w:ascii="Times New Roman" w:hAnsi="Times New Roman" w:cs="Times New Roman"/>
          <w:color w:val="000000"/>
          <w:sz w:val="20"/>
        </w:rPr>
        <w:t>’</w:t>
      </w:r>
      <w:r>
        <w:rPr>
          <w:rFonts w:ascii="Times New Roman" w:hAnsi="Times New Roman" w:cs="Times New Roman"/>
          <w:color w:val="000000"/>
          <w:sz w:val="20"/>
        </w:rPr>
        <w:t xml:space="preserve">s diagnosis, he </w:t>
      </w:r>
      <w:r>
        <w:rPr>
          <w:rFonts w:ascii="Times New Roman" w:hAnsi="Times New Roman" w:cs="Times New Roman"/>
          <w:color w:val="000000"/>
          <w:sz w:val="20"/>
        </w:rPr>
        <w:t>“</w:t>
      </w:r>
      <w:r>
        <w:rPr>
          <w:rFonts w:ascii="Times New Roman" w:hAnsi="Times New Roman" w:cs="Times New Roman"/>
          <w:color w:val="000000"/>
          <w:sz w:val="20"/>
        </w:rPr>
        <w:t>could do anything [he] wanted to do,</w:t>
      </w:r>
      <w:r>
        <w:rPr>
          <w:rFonts w:ascii="Times New Roman" w:hAnsi="Times New Roman" w:cs="Times New Roman"/>
          <w:color w:val="000000"/>
          <w:sz w:val="20"/>
        </w:rPr>
        <w:t>”</w:t>
      </w:r>
      <w:r>
        <w:rPr>
          <w:rFonts w:ascii="Times New Roman" w:hAnsi="Times New Roman" w:cs="Times New Roman"/>
          <w:color w:val="000000"/>
          <w:sz w:val="20"/>
        </w:rPr>
        <w:t xml:space="preserve"> whereas after the diagnosis his activity level </w:t>
      </w:r>
      <w:r>
        <w:rPr>
          <w:rFonts w:ascii="Times New Roman" w:hAnsi="Times New Roman" w:cs="Times New Roman"/>
          <w:color w:val="000000"/>
          <w:sz w:val="20"/>
        </w:rPr>
        <w:t>“</w:t>
      </w:r>
      <w:r>
        <w:rPr>
          <w:rFonts w:ascii="Times New Roman" w:hAnsi="Times New Roman" w:cs="Times New Roman"/>
          <w:color w:val="000000"/>
          <w:sz w:val="20"/>
        </w:rPr>
        <w:t>changed dramatically</w:t>
      </w:r>
      <w:r>
        <w:rPr>
          <w:rFonts w:ascii="Times New Roman" w:hAnsi="Times New Roman" w:cs="Times New Roman"/>
          <w:color w:val="000000"/>
          <w:sz w:val="20"/>
        </w:rPr>
        <w:t>”</w:t>
      </w:r>
      <w:r>
        <w:rPr>
          <w:rFonts w:ascii="Times New Roman" w:hAnsi="Times New Roman" w:cs="Times New Roman"/>
          <w:color w:val="000000"/>
          <w:sz w:val="20"/>
        </w:rPr>
        <w:t xml:space="preserve"> and he had trouble remembering things. And whereas Johnson previously had </w:t>
      </w:r>
      <w:r>
        <w:rPr>
          <w:rFonts w:ascii="Times New Roman" w:hAnsi="Times New Roman" w:cs="Times New Roman"/>
          <w:color w:val="000000"/>
          <w:sz w:val="20"/>
        </w:rPr>
        <w:t>“</w:t>
      </w:r>
      <w:r>
        <w:rPr>
          <w:rFonts w:ascii="Times New Roman" w:hAnsi="Times New Roman" w:cs="Times New Roman"/>
          <w:color w:val="000000"/>
          <w:sz w:val="20"/>
        </w:rPr>
        <w:t>perfect</w:t>
      </w:r>
      <w:r>
        <w:rPr>
          <w:rFonts w:ascii="Times New Roman" w:hAnsi="Times New Roman" w:cs="Times New Roman"/>
          <w:color w:val="000000"/>
          <w:sz w:val="20"/>
        </w:rPr>
        <w:t xml:space="preserve"> skin ... like 100 percent beautiful skin,</w:t>
      </w:r>
      <w:r>
        <w:rPr>
          <w:rFonts w:ascii="Times New Roman" w:hAnsi="Times New Roman" w:cs="Times New Roman"/>
          <w:color w:val="000000"/>
          <w:sz w:val="20"/>
        </w:rPr>
        <w:t>”</w:t>
      </w:r>
      <w:r>
        <w:rPr>
          <w:rFonts w:ascii="Times New Roman" w:hAnsi="Times New Roman" w:cs="Times New Roman"/>
          <w:color w:val="000000"/>
          <w:sz w:val="20"/>
        </w:rPr>
        <w:t xml:space="preserve"> after the diagnosis he had painful lesions and plaques.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Johnson filed this product liability lawsuit in January 2016, and trial began in June 2018.</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12" w:name="co_anchor_I2f230de1cad611eaad728cad1da01"/>
      <w:bookmarkEnd w:id="12"/>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400"/>
        <w:ind w:left="200"/>
        <w:rPr>
          <w:rFonts w:ascii="Times New Roman" w:hAnsi="Times New Roman" w:cs="Times New Roman"/>
          <w:i/>
          <w:color w:val="000000"/>
          <w:sz w:val="20"/>
        </w:rPr>
      </w:pPr>
      <w:r>
        <w:rPr>
          <w:rFonts w:ascii="Times New Roman" w:hAnsi="Times New Roman" w:cs="Times New Roman"/>
          <w:i/>
          <w:color w:val="000000"/>
          <w:sz w:val="20"/>
        </w:rPr>
        <w:t>C. Proceedings in the Trial Court.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Johnson sought recovery based on the theories that Roundup products had a design defect and that Monsanto provided inadequate warnings (seeking recovery both in strict liability and for negligently f</w:t>
      </w:r>
      <w:r>
        <w:rPr>
          <w:rFonts w:ascii="Times New Roman" w:hAnsi="Times New Roman" w:cs="Times New Roman"/>
          <w:color w:val="000000"/>
          <w:sz w:val="20"/>
        </w:rPr>
        <w:t>ailing to warn). The main issues litigated at trial were whether Roundup products caused Johnson</w:t>
      </w:r>
      <w:r>
        <w:rPr>
          <w:rFonts w:ascii="Times New Roman" w:hAnsi="Times New Roman" w:cs="Times New Roman"/>
          <w:color w:val="000000"/>
          <w:sz w:val="20"/>
        </w:rPr>
        <w:t>’</w:t>
      </w:r>
      <w:r>
        <w:rPr>
          <w:rFonts w:ascii="Times New Roman" w:hAnsi="Times New Roman" w:cs="Times New Roman"/>
          <w:color w:val="000000"/>
          <w:sz w:val="20"/>
        </w:rPr>
        <w:t>s illness and, if so, the degree to which Monsanto was aware of its products</w:t>
      </w:r>
      <w:r>
        <w:rPr>
          <w:rFonts w:ascii="Times New Roman" w:hAnsi="Times New Roman" w:cs="Times New Roman"/>
          <w:color w:val="000000"/>
          <w:sz w:val="20"/>
        </w:rPr>
        <w:t>’</w:t>
      </w:r>
      <w:r>
        <w:rPr>
          <w:rFonts w:ascii="Times New Roman" w:hAnsi="Times New Roman" w:cs="Times New Roman"/>
          <w:color w:val="000000"/>
          <w:sz w:val="20"/>
        </w:rPr>
        <w:t xml:space="preserve"> carcinogenicity. A number of experts testified on these issues.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Much of the tes</w:t>
      </w:r>
      <w:r>
        <w:rPr>
          <w:rFonts w:ascii="Times New Roman" w:hAnsi="Times New Roman" w:cs="Times New Roman"/>
          <w:color w:val="000000"/>
          <w:sz w:val="20"/>
        </w:rPr>
        <w:t xml:space="preserve">timony focused on a study prepared by the International Agency for Research on Cancer (IARC), an agency of the World Health Organization that researches suspected </w:t>
      </w:r>
      <w:r>
        <w:rPr>
          <w:rFonts w:ascii="Times New Roman" w:hAnsi="Times New Roman" w:cs="Times New Roman"/>
          <w:color w:val="0000FF"/>
          <w:sz w:val="20"/>
        </w:rPr>
        <w:t>cancer</w:t>
      </w:r>
      <w:r>
        <w:rPr>
          <w:rFonts w:ascii="Times New Roman" w:hAnsi="Times New Roman" w:cs="Times New Roman"/>
          <w:color w:val="000000"/>
          <w:sz w:val="20"/>
        </w:rPr>
        <w:t xml:space="preserve"> risks. The organization is composed of independent scientists who are not paid for the</w:t>
      </w:r>
      <w:r>
        <w:rPr>
          <w:rFonts w:ascii="Times New Roman" w:hAnsi="Times New Roman" w:cs="Times New Roman"/>
          <w:color w:val="000000"/>
          <w:sz w:val="20"/>
        </w:rPr>
        <w:t xml:space="preserve">ir work. They evaluate compounds that have a possible link to </w:t>
      </w:r>
      <w:r>
        <w:rPr>
          <w:rFonts w:ascii="Times New Roman" w:hAnsi="Times New Roman" w:cs="Times New Roman"/>
          <w:color w:val="0000FF"/>
          <w:sz w:val="20"/>
        </w:rPr>
        <w:t>cancer</w:t>
      </w:r>
      <w:r>
        <w:rPr>
          <w:rFonts w:ascii="Times New Roman" w:hAnsi="Times New Roman" w:cs="Times New Roman"/>
          <w:color w:val="000000"/>
          <w:sz w:val="20"/>
        </w:rPr>
        <w:t xml:space="preserve">. About 10 percent of the substances it studies are classified as </w:t>
      </w:r>
      <w:r>
        <w:rPr>
          <w:rFonts w:ascii="Times New Roman" w:hAnsi="Times New Roman" w:cs="Times New Roman"/>
          <w:color w:val="000000"/>
          <w:sz w:val="20"/>
        </w:rPr>
        <w:t>“</w:t>
      </w:r>
      <w:r>
        <w:rPr>
          <w:rFonts w:ascii="Times New Roman" w:hAnsi="Times New Roman" w:cs="Times New Roman"/>
          <w:color w:val="000000"/>
          <w:sz w:val="20"/>
        </w:rPr>
        <w:t>known</w:t>
      </w:r>
      <w:r>
        <w:rPr>
          <w:rFonts w:ascii="Times New Roman" w:hAnsi="Times New Roman" w:cs="Times New Roman"/>
          <w:color w:val="000000"/>
          <w:sz w:val="20"/>
        </w:rPr>
        <w:t>”</w:t>
      </w:r>
      <w:r>
        <w:rPr>
          <w:rFonts w:ascii="Times New Roman" w:hAnsi="Times New Roman" w:cs="Times New Roman"/>
          <w:color w:val="000000"/>
          <w:sz w:val="20"/>
        </w:rPr>
        <w:t xml:space="preserve"> human carcinogens, about 10 percent are </w:t>
      </w:r>
      <w:r>
        <w:rPr>
          <w:rFonts w:ascii="Times New Roman" w:hAnsi="Times New Roman" w:cs="Times New Roman"/>
          <w:color w:val="000000"/>
          <w:sz w:val="20"/>
        </w:rPr>
        <w:t>“</w:t>
      </w:r>
      <w:r>
        <w:rPr>
          <w:rFonts w:ascii="Times New Roman" w:hAnsi="Times New Roman" w:cs="Times New Roman"/>
          <w:color w:val="000000"/>
          <w:sz w:val="20"/>
        </w:rPr>
        <w:t>probable</w:t>
      </w:r>
      <w:r>
        <w:rPr>
          <w:rFonts w:ascii="Times New Roman" w:hAnsi="Times New Roman" w:cs="Times New Roman"/>
          <w:color w:val="000000"/>
          <w:sz w:val="20"/>
        </w:rPr>
        <w:t>”</w:t>
      </w:r>
      <w:r>
        <w:rPr>
          <w:rFonts w:ascii="Times New Roman" w:hAnsi="Times New Roman" w:cs="Times New Roman"/>
          <w:color w:val="000000"/>
          <w:sz w:val="20"/>
        </w:rPr>
        <w:t xml:space="preserve"> human carcinogens, about 30 percent are </w:t>
      </w:r>
      <w:r>
        <w:rPr>
          <w:rFonts w:ascii="Times New Roman" w:hAnsi="Times New Roman" w:cs="Times New Roman"/>
          <w:color w:val="000000"/>
          <w:sz w:val="20"/>
        </w:rPr>
        <w:t>“</w:t>
      </w:r>
      <w:r>
        <w:rPr>
          <w:rFonts w:ascii="Times New Roman" w:hAnsi="Times New Roman" w:cs="Times New Roman"/>
          <w:color w:val="000000"/>
          <w:sz w:val="20"/>
        </w:rPr>
        <w:t>possible</w:t>
      </w:r>
      <w:r>
        <w:rPr>
          <w:rFonts w:ascii="Times New Roman" w:hAnsi="Times New Roman" w:cs="Times New Roman"/>
          <w:color w:val="000000"/>
          <w:sz w:val="20"/>
        </w:rPr>
        <w:t>”</w:t>
      </w:r>
      <w:r>
        <w:rPr>
          <w:rFonts w:ascii="Times New Roman" w:hAnsi="Times New Roman" w:cs="Times New Roman"/>
          <w:color w:val="000000"/>
          <w:sz w:val="20"/>
        </w:rPr>
        <w:t xml:space="preserve"> human carcin</w:t>
      </w:r>
      <w:r>
        <w:rPr>
          <w:rFonts w:ascii="Times New Roman" w:hAnsi="Times New Roman" w:cs="Times New Roman"/>
          <w:color w:val="000000"/>
          <w:sz w:val="20"/>
        </w:rPr>
        <w:t xml:space="preserve">ogens, and the rest are not included in those three classifications </w:t>
      </w:r>
      <w:r>
        <w:rPr>
          <w:rFonts w:ascii="Times New Roman" w:hAnsi="Times New Roman" w:cs="Times New Roman"/>
          <w:color w:val="000000"/>
          <w:sz w:val="20"/>
        </w:rPr>
        <w:t>“</w:t>
      </w:r>
      <w:r>
        <w:rPr>
          <w:rFonts w:ascii="Times New Roman" w:hAnsi="Times New Roman" w:cs="Times New Roman"/>
          <w:color w:val="000000"/>
          <w:sz w:val="20"/>
        </w:rPr>
        <w:t>because there</w:t>
      </w:r>
      <w:r>
        <w:rPr>
          <w:rFonts w:ascii="Times New Roman" w:hAnsi="Times New Roman" w:cs="Times New Roman"/>
          <w:color w:val="000000"/>
          <w:sz w:val="20"/>
        </w:rPr>
        <w:t>’</w:t>
      </w:r>
      <w:r>
        <w:rPr>
          <w:rFonts w:ascii="Times New Roman" w:hAnsi="Times New Roman" w:cs="Times New Roman"/>
          <w:color w:val="000000"/>
          <w:sz w:val="20"/>
        </w:rPr>
        <w:t>s just not enough data to make a decision.</w:t>
      </w:r>
      <w:r>
        <w:rPr>
          <w:rFonts w:ascii="Times New Roman" w:hAnsi="Times New Roman" w:cs="Times New Roman"/>
          <w:color w:val="000000"/>
          <w:sz w:val="20"/>
        </w:rPr>
        <w:t>”</w:t>
      </w:r>
      <w:r>
        <w:rPr>
          <w:rFonts w:ascii="Times New Roman" w:hAnsi="Times New Roman" w:cs="Times New Roman"/>
          <w:color w:val="000000"/>
          <w:sz w:val="20"/>
        </w:rPr>
        <w:t xml:space="preserve"> The IARC</w:t>
      </w:r>
      <w:r>
        <w:rPr>
          <w:rFonts w:ascii="Times New Roman" w:hAnsi="Times New Roman" w:cs="Times New Roman"/>
          <w:color w:val="000000"/>
          <w:sz w:val="20"/>
        </w:rPr>
        <w:t>’</w:t>
      </w:r>
      <w:r>
        <w:rPr>
          <w:rFonts w:ascii="Times New Roman" w:hAnsi="Times New Roman" w:cs="Times New Roman"/>
          <w:color w:val="000000"/>
          <w:sz w:val="20"/>
        </w:rPr>
        <w:t xml:space="preserve">s work is </w:t>
      </w:r>
      <w:r>
        <w:rPr>
          <w:rFonts w:ascii="Times New Roman" w:hAnsi="Times New Roman" w:cs="Times New Roman"/>
          <w:color w:val="000000"/>
          <w:sz w:val="20"/>
        </w:rPr>
        <w:t>“</w:t>
      </w:r>
      <w:r>
        <w:rPr>
          <w:rFonts w:ascii="Times New Roman" w:hAnsi="Times New Roman" w:cs="Times New Roman"/>
          <w:color w:val="000000"/>
          <w:sz w:val="20"/>
        </w:rPr>
        <w:t>very transparent,</w:t>
      </w:r>
      <w:r>
        <w:rPr>
          <w:rFonts w:ascii="Times New Roman" w:hAnsi="Times New Roman" w:cs="Times New Roman"/>
          <w:color w:val="000000"/>
          <w:sz w:val="20"/>
        </w:rPr>
        <w:t>”</w:t>
      </w:r>
      <w:r>
        <w:rPr>
          <w:rFonts w:ascii="Times New Roman" w:hAnsi="Times New Roman" w:cs="Times New Roman"/>
          <w:color w:val="000000"/>
          <w:sz w:val="20"/>
        </w:rPr>
        <w:t xml:space="preserve"> and </w:t>
      </w:r>
      <w:r>
        <w:rPr>
          <w:rFonts w:ascii="Times New Roman" w:hAnsi="Times New Roman" w:cs="Times New Roman"/>
          <w:color w:val="000000"/>
          <w:sz w:val="20"/>
        </w:rPr>
        <w:t>“</w:t>
      </w:r>
      <w:r>
        <w:rPr>
          <w:rFonts w:ascii="Times New Roman" w:hAnsi="Times New Roman" w:cs="Times New Roman"/>
          <w:color w:val="000000"/>
          <w:sz w:val="20"/>
        </w:rPr>
        <w:t>many independent folks can come and review the process of what [it] actually do[es].</w:t>
      </w:r>
      <w:r>
        <w:rPr>
          <w:rFonts w:ascii="Times New Roman" w:hAnsi="Times New Roman" w:cs="Times New Roman"/>
          <w:color w:val="000000"/>
          <w:sz w:val="20"/>
        </w:rPr>
        <w:t>”</w:t>
      </w:r>
      <w:r>
        <w:rPr>
          <w:rFonts w:ascii="Times New Roman" w:hAnsi="Times New Roman" w:cs="Times New Roman"/>
          <w:color w:val="000000"/>
          <w:sz w:val="20"/>
        </w:rPr>
        <w:t xml:space="preserve"> The IARC is recognized in the </w:t>
      </w:r>
      <w:r>
        <w:rPr>
          <w:rFonts w:ascii="Times New Roman" w:hAnsi="Times New Roman" w:cs="Times New Roman"/>
          <w:color w:val="000000"/>
          <w:sz w:val="20"/>
        </w:rPr>
        <w:t>“</w:t>
      </w:r>
      <w:r>
        <w:rPr>
          <w:rFonts w:ascii="Times New Roman" w:hAnsi="Times New Roman" w:cs="Times New Roman"/>
          <w:color w:val="000000"/>
          <w:sz w:val="20"/>
        </w:rPr>
        <w:t xml:space="preserve">scientific and academic </w:t>
      </w:r>
      <w:r>
        <w:rPr>
          <w:rFonts w:ascii="Times New Roman" w:hAnsi="Times New Roman" w:cs="Times New Roman"/>
          <w:color w:val="0000FF"/>
          <w:sz w:val="20"/>
        </w:rPr>
        <w:t>cancer</w:t>
      </w:r>
      <w:r>
        <w:rPr>
          <w:rFonts w:ascii="Times New Roman" w:hAnsi="Times New Roman" w:cs="Times New Roman"/>
          <w:color w:val="000000"/>
          <w:sz w:val="20"/>
        </w:rPr>
        <w:t xml:space="preserve"> community</w:t>
      </w:r>
      <w:r>
        <w:rPr>
          <w:rFonts w:ascii="Times New Roman" w:hAnsi="Times New Roman" w:cs="Times New Roman"/>
          <w:color w:val="000000"/>
          <w:sz w:val="20"/>
        </w:rPr>
        <w:t>”</w:t>
      </w:r>
      <w:r>
        <w:rPr>
          <w:rFonts w:ascii="Times New Roman" w:hAnsi="Times New Roman" w:cs="Times New Roman"/>
          <w:color w:val="000000"/>
          <w:sz w:val="20"/>
        </w:rPr>
        <w:t xml:space="preserve"> as </w:t>
      </w:r>
      <w:r>
        <w:rPr>
          <w:rFonts w:ascii="Times New Roman" w:hAnsi="Times New Roman" w:cs="Times New Roman"/>
          <w:color w:val="000000"/>
          <w:sz w:val="20"/>
        </w:rPr>
        <w:t>“</w:t>
      </w:r>
      <w:r>
        <w:rPr>
          <w:rFonts w:ascii="Times New Roman" w:hAnsi="Times New Roman" w:cs="Times New Roman"/>
          <w:color w:val="000000"/>
          <w:sz w:val="20"/>
        </w:rPr>
        <w:t>usually the main arbiter of what a cancer-causing agent is.</w:t>
      </w:r>
      <w:r>
        <w:rPr>
          <w:rFonts w:ascii="Times New Roman" w:hAnsi="Times New Roman" w:cs="Times New Roman"/>
          <w:color w:val="000000"/>
          <w:sz w:val="20"/>
        </w:rPr>
        <w:t>”</w:t>
      </w:r>
      <w:r>
        <w:rPr>
          <w:rFonts w:ascii="Times New Roman" w:hAnsi="Times New Roman" w:cs="Times New Roman"/>
          <w:color w:val="000000"/>
          <w:sz w:val="20"/>
        </w:rPr>
        <w:t xml:space="preserve"> One witness testified that to him it was </w:t>
      </w:r>
      <w:r>
        <w:rPr>
          <w:rFonts w:ascii="Times New Roman" w:hAnsi="Times New Roman" w:cs="Times New Roman"/>
          <w:color w:val="000000"/>
          <w:sz w:val="20"/>
        </w:rPr>
        <w:t>“</w:t>
      </w:r>
      <w:r>
        <w:rPr>
          <w:rFonts w:ascii="Times New Roman" w:hAnsi="Times New Roman" w:cs="Times New Roman"/>
          <w:color w:val="000000"/>
          <w:sz w:val="20"/>
        </w:rPr>
        <w:t>the number one arbiter in the world of whether something is actually carcin</w:t>
      </w:r>
      <w:r>
        <w:rPr>
          <w:rFonts w:ascii="Times New Roman" w:hAnsi="Times New Roman" w:cs="Times New Roman"/>
          <w:color w:val="000000"/>
          <w:sz w:val="20"/>
        </w:rPr>
        <w:t>ogenic and what the level of probability is that it is a carcinogen or not,</w:t>
      </w:r>
      <w:r>
        <w:rPr>
          <w:rFonts w:ascii="Times New Roman" w:hAnsi="Times New Roman" w:cs="Times New Roman"/>
          <w:color w:val="000000"/>
          <w:sz w:val="20"/>
        </w:rPr>
        <w:t>”</w:t>
      </w:r>
      <w:r>
        <w:rPr>
          <w:rFonts w:ascii="Times New Roman" w:hAnsi="Times New Roman" w:cs="Times New Roman"/>
          <w:color w:val="000000"/>
          <w:sz w:val="20"/>
        </w:rPr>
        <w:t xml:space="preserve"> and another testified he could not </w:t>
      </w:r>
      <w:r>
        <w:rPr>
          <w:rFonts w:ascii="Times New Roman" w:hAnsi="Times New Roman" w:cs="Times New Roman"/>
          <w:color w:val="000000"/>
          <w:sz w:val="20"/>
        </w:rPr>
        <w:t>“</w:t>
      </w:r>
      <w:r>
        <w:rPr>
          <w:rFonts w:ascii="Times New Roman" w:hAnsi="Times New Roman" w:cs="Times New Roman"/>
          <w:color w:val="000000"/>
          <w:sz w:val="20"/>
        </w:rPr>
        <w:t>think of any more reputable source that is impartial, non-biased, and unpaid.</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13" w:name="co_pp_sp_999_4_1"/>
      <w:bookmarkEnd w:id="13"/>
      <w:r>
        <w:rPr>
          <w:rFonts w:ascii="Times New Roman" w:hAnsi="Times New Roman" w:cs="Times New Roman"/>
          <w:b/>
          <w:color w:val="000000"/>
          <w:sz w:val="20"/>
        </w:rPr>
        <w:t>*4</w:t>
      </w:r>
      <w:r>
        <w:rPr>
          <w:rFonts w:ascii="Times New Roman" w:hAnsi="Times New Roman" w:cs="Times New Roman"/>
          <w:color w:val="000000"/>
          <w:sz w:val="20"/>
        </w:rPr>
        <w:t xml:space="preserve"> Dr. Christopher Portier, wh</w:t>
      </w:r>
      <w:r>
        <w:rPr>
          <w:rFonts w:ascii="Times New Roman" w:hAnsi="Times New Roman" w:cs="Times New Roman"/>
          <w:color w:val="000000"/>
          <w:sz w:val="20"/>
        </w:rPr>
        <w:t xml:space="preserve">o has served as the director of the environmental toxicology program at the National Institute of Environmental Health Sciences and has studied </w:t>
      </w:r>
      <w:r>
        <w:rPr>
          <w:rFonts w:ascii="Times New Roman" w:hAnsi="Times New Roman" w:cs="Times New Roman"/>
          <w:color w:val="0000FF"/>
          <w:sz w:val="20"/>
        </w:rPr>
        <w:t>cancer</w:t>
      </w:r>
      <w:r>
        <w:rPr>
          <w:rFonts w:ascii="Times New Roman" w:hAnsi="Times New Roman" w:cs="Times New Roman"/>
          <w:color w:val="000000"/>
          <w:sz w:val="20"/>
        </w:rPr>
        <w:t xml:space="preserve">, testified for Johnson as an expert in </w:t>
      </w:r>
      <w:r>
        <w:rPr>
          <w:rFonts w:ascii="Times New Roman" w:hAnsi="Times New Roman" w:cs="Times New Roman"/>
          <w:color w:val="0000FF"/>
          <w:sz w:val="20"/>
        </w:rPr>
        <w:t>cancer</w:t>
      </w:r>
      <w:r>
        <w:rPr>
          <w:rFonts w:ascii="Times New Roman" w:hAnsi="Times New Roman" w:cs="Times New Roman"/>
          <w:color w:val="000000"/>
          <w:sz w:val="20"/>
        </w:rPr>
        <w:t xml:space="preserve"> risk assessment. The IARC asked Portier in 2014 to serve as</w:t>
      </w:r>
      <w:r>
        <w:rPr>
          <w:rFonts w:ascii="Times New Roman" w:hAnsi="Times New Roman" w:cs="Times New Roman"/>
          <w:color w:val="000000"/>
          <w:sz w:val="20"/>
        </w:rPr>
        <w:t xml:space="preserve"> a specialist on the panel that reviewed whether glyphosate and four other pesticides caused </w:t>
      </w:r>
      <w:r>
        <w:rPr>
          <w:rFonts w:ascii="Times New Roman" w:hAnsi="Times New Roman" w:cs="Times New Roman"/>
          <w:color w:val="0000FF"/>
          <w:sz w:val="20"/>
        </w:rPr>
        <w:t>cancer</w:t>
      </w:r>
      <w:r>
        <w:rPr>
          <w:rFonts w:ascii="Times New Roman" w:hAnsi="Times New Roman" w:cs="Times New Roman"/>
          <w:color w:val="000000"/>
          <w:sz w:val="20"/>
        </w:rPr>
        <w:t xml:space="preserve">. An IARC working group prepared a book (referred to as the </w:t>
      </w:r>
      <w:r>
        <w:rPr>
          <w:rFonts w:ascii="Times New Roman" w:hAnsi="Times New Roman" w:cs="Times New Roman"/>
          <w:color w:val="000000"/>
          <w:sz w:val="20"/>
        </w:rPr>
        <w:t>“</w:t>
      </w:r>
      <w:r>
        <w:rPr>
          <w:rFonts w:ascii="Times New Roman" w:hAnsi="Times New Roman" w:cs="Times New Roman"/>
          <w:color w:val="000000"/>
          <w:sz w:val="20"/>
        </w:rPr>
        <w:t>Monograph</w:t>
      </w:r>
      <w:r>
        <w:rPr>
          <w:rFonts w:ascii="Times New Roman" w:hAnsi="Times New Roman" w:cs="Times New Roman"/>
          <w:color w:val="000000"/>
          <w:sz w:val="20"/>
        </w:rPr>
        <w:t>”</w:t>
      </w:r>
      <w:r>
        <w:rPr>
          <w:rFonts w:ascii="Times New Roman" w:hAnsi="Times New Roman" w:cs="Times New Roman"/>
          <w:color w:val="000000"/>
          <w:sz w:val="20"/>
        </w:rPr>
        <w:t>) that summarized the work it did on classifying glyphosate. Members of the working gr</w:t>
      </w:r>
      <w:r>
        <w:rPr>
          <w:rFonts w:ascii="Times New Roman" w:hAnsi="Times New Roman" w:cs="Times New Roman"/>
          <w:color w:val="000000"/>
          <w:sz w:val="20"/>
        </w:rPr>
        <w:t xml:space="preserve">oup in March 2015 voted unanimously to classify glyphosate as </w:t>
      </w:r>
      <w:r>
        <w:rPr>
          <w:rFonts w:ascii="Times New Roman" w:hAnsi="Times New Roman" w:cs="Times New Roman"/>
          <w:color w:val="000000"/>
          <w:sz w:val="20"/>
        </w:rPr>
        <w:t>“</w:t>
      </w:r>
      <w:r>
        <w:rPr>
          <w:rFonts w:ascii="Times New Roman" w:hAnsi="Times New Roman" w:cs="Times New Roman"/>
          <w:color w:val="000000"/>
          <w:sz w:val="20"/>
        </w:rPr>
        <w:t>probably carcinogenic to humans.</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At the time of trial, the Environmental Protection Agency (EPA) had not come to a final conclusion on whether to classify glyphosate as carcinogenic, but it </w:t>
      </w:r>
      <w:r>
        <w:rPr>
          <w:rFonts w:ascii="Times New Roman" w:hAnsi="Times New Roman" w:cs="Times New Roman"/>
          <w:color w:val="000000"/>
          <w:sz w:val="20"/>
        </w:rPr>
        <w:t>was proposing to list the substance as not a human carcinogen. Dr. Portier disagreed with the EPA</w:t>
      </w:r>
      <w:r>
        <w:rPr>
          <w:rFonts w:ascii="Times New Roman" w:hAnsi="Times New Roman" w:cs="Times New Roman"/>
          <w:color w:val="000000"/>
          <w:sz w:val="20"/>
        </w:rPr>
        <w:t>’</w:t>
      </w:r>
      <w:r>
        <w:rPr>
          <w:rFonts w:ascii="Times New Roman" w:hAnsi="Times New Roman" w:cs="Times New Roman"/>
          <w:color w:val="000000"/>
          <w:sz w:val="20"/>
        </w:rPr>
        <w:t xml:space="preserve">s position that there was inadequate information to assess the carcinogenic potential of glyphosate, because </w:t>
      </w:r>
      <w:r>
        <w:rPr>
          <w:rFonts w:ascii="Times New Roman" w:hAnsi="Times New Roman" w:cs="Times New Roman"/>
          <w:color w:val="000000"/>
          <w:sz w:val="20"/>
        </w:rPr>
        <w:t>“</w:t>
      </w:r>
      <w:r>
        <w:rPr>
          <w:rFonts w:ascii="Times New Roman" w:hAnsi="Times New Roman" w:cs="Times New Roman"/>
          <w:color w:val="000000"/>
          <w:sz w:val="20"/>
        </w:rPr>
        <w:t>[t]he evidence to [him] is so overwhelming.</w:t>
      </w:r>
      <w:r>
        <w:rPr>
          <w:rFonts w:ascii="Times New Roman" w:hAnsi="Times New Roman" w:cs="Times New Roman"/>
          <w:color w:val="000000"/>
          <w:sz w:val="20"/>
        </w:rPr>
        <w:t>”</w:t>
      </w:r>
      <w:r>
        <w:rPr>
          <w:rFonts w:ascii="Times New Roman" w:hAnsi="Times New Roman" w:cs="Times New Roman"/>
          <w:color w:val="000000"/>
          <w:sz w:val="20"/>
        </w:rPr>
        <w:t xml:space="preserve"> Dr.</w:t>
      </w:r>
      <w:r>
        <w:rPr>
          <w:rFonts w:ascii="Times New Roman" w:hAnsi="Times New Roman" w:cs="Times New Roman"/>
          <w:color w:val="000000"/>
          <w:sz w:val="20"/>
        </w:rPr>
        <w:t xml:space="preserve"> Portier responded to an EPA request for public comment on the agency</w:t>
      </w:r>
      <w:r>
        <w:rPr>
          <w:rFonts w:ascii="Times New Roman" w:hAnsi="Times New Roman" w:cs="Times New Roman"/>
          <w:color w:val="000000"/>
          <w:sz w:val="20"/>
        </w:rPr>
        <w:t>’</w:t>
      </w:r>
      <w:r>
        <w:rPr>
          <w:rFonts w:ascii="Times New Roman" w:hAnsi="Times New Roman" w:cs="Times New Roman"/>
          <w:color w:val="000000"/>
          <w:sz w:val="20"/>
        </w:rPr>
        <w:t>s draft proposal and went through the EPA</w:t>
      </w:r>
      <w:r>
        <w:rPr>
          <w:rFonts w:ascii="Times New Roman" w:hAnsi="Times New Roman" w:cs="Times New Roman"/>
          <w:color w:val="000000"/>
          <w:sz w:val="20"/>
        </w:rPr>
        <w:t>’</w:t>
      </w:r>
      <w:r>
        <w:rPr>
          <w:rFonts w:ascii="Times New Roman" w:hAnsi="Times New Roman" w:cs="Times New Roman"/>
          <w:color w:val="000000"/>
          <w:sz w:val="20"/>
        </w:rPr>
        <w:t xml:space="preserve">s document </w:t>
      </w:r>
      <w:r>
        <w:rPr>
          <w:rFonts w:ascii="Times New Roman" w:hAnsi="Times New Roman" w:cs="Times New Roman"/>
          <w:color w:val="000000"/>
          <w:sz w:val="20"/>
        </w:rPr>
        <w:t>“</w:t>
      </w:r>
      <w:r>
        <w:rPr>
          <w:rFonts w:ascii="Times New Roman" w:hAnsi="Times New Roman" w:cs="Times New Roman"/>
          <w:color w:val="000000"/>
          <w:sz w:val="20"/>
        </w:rPr>
        <w:t>page by page and discussed what [he] was seeing that they were doing inappropriately.</w:t>
      </w:r>
      <w:r>
        <w:rPr>
          <w:rFonts w:ascii="Times New Roman" w:hAnsi="Times New Roman" w:cs="Times New Roman"/>
          <w:color w:val="000000"/>
          <w:sz w:val="20"/>
        </w:rPr>
        <w:t>”</w:t>
      </w:r>
      <w:r>
        <w:rPr>
          <w:rFonts w:ascii="Times New Roman" w:hAnsi="Times New Roman" w:cs="Times New Roman"/>
          <w:color w:val="000000"/>
          <w:sz w:val="20"/>
        </w:rPr>
        <w:t xml:space="preserve"> According to Dr. Portier, </w:t>
      </w:r>
      <w:r>
        <w:rPr>
          <w:rFonts w:ascii="Times New Roman" w:hAnsi="Times New Roman" w:cs="Times New Roman"/>
          <w:color w:val="000000"/>
          <w:sz w:val="20"/>
        </w:rPr>
        <w:t>“</w:t>
      </w:r>
      <w:r>
        <w:rPr>
          <w:rFonts w:ascii="Times New Roman" w:hAnsi="Times New Roman" w:cs="Times New Roman"/>
          <w:color w:val="000000"/>
          <w:sz w:val="20"/>
        </w:rPr>
        <w:t>[T]his was just so</w:t>
      </w:r>
      <w:r>
        <w:rPr>
          <w:rFonts w:ascii="Times New Roman" w:hAnsi="Times New Roman" w:cs="Times New Roman"/>
          <w:color w:val="000000"/>
          <w:sz w:val="20"/>
        </w:rPr>
        <w:t xml:space="preserve"> amazingly wrong in the way they [the EPA] were doing it, not following their own guidelines, I just felt I had to say something about it.</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Dr. Alfred Neugut, a board-certified medical oncologist </w:t>
      </w:r>
      <w:r>
        <w:rPr>
          <w:rFonts w:ascii="Times New Roman" w:hAnsi="Times New Roman" w:cs="Times New Roman"/>
          <w:color w:val="000000"/>
          <w:sz w:val="20"/>
        </w:rPr>
        <w:lastRenderedPageBreak/>
        <w:t xml:space="preserve">and </w:t>
      </w:r>
      <w:r>
        <w:rPr>
          <w:rFonts w:ascii="Times New Roman" w:hAnsi="Times New Roman" w:cs="Times New Roman"/>
          <w:color w:val="0000FF"/>
          <w:sz w:val="20"/>
        </w:rPr>
        <w:t>cancer</w:t>
      </w:r>
      <w:r>
        <w:rPr>
          <w:rFonts w:ascii="Times New Roman" w:hAnsi="Times New Roman" w:cs="Times New Roman"/>
          <w:color w:val="000000"/>
          <w:sz w:val="20"/>
        </w:rPr>
        <w:t xml:space="preserve"> epidemiologist who also is a profes</w:t>
      </w:r>
      <w:r>
        <w:rPr>
          <w:rFonts w:ascii="Times New Roman" w:hAnsi="Times New Roman" w:cs="Times New Roman"/>
          <w:color w:val="000000"/>
          <w:sz w:val="20"/>
        </w:rPr>
        <w:t xml:space="preserve">sor at Columbia University, testified for Johnson as an expert in the areas of medical oncology and </w:t>
      </w:r>
      <w:r>
        <w:rPr>
          <w:rFonts w:ascii="Times New Roman" w:hAnsi="Times New Roman" w:cs="Times New Roman"/>
          <w:color w:val="0000FF"/>
          <w:sz w:val="20"/>
        </w:rPr>
        <w:t>cancer</w:t>
      </w:r>
      <w:r>
        <w:rPr>
          <w:rFonts w:ascii="Times New Roman" w:hAnsi="Times New Roman" w:cs="Times New Roman"/>
          <w:color w:val="000000"/>
          <w:sz w:val="20"/>
        </w:rPr>
        <w:t xml:space="preserve"> epidemiology (the study of causes of human diseases). As part of his work as an expert in this case, Neugut reviewed six studies addressing a possibl</w:t>
      </w:r>
      <w:r>
        <w:rPr>
          <w:rFonts w:ascii="Times New Roman" w:hAnsi="Times New Roman" w:cs="Times New Roman"/>
          <w:color w:val="000000"/>
          <w:sz w:val="20"/>
        </w:rPr>
        <w:t xml:space="preserve">e connection between glyphosate and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to produce a </w:t>
      </w:r>
      <w:r>
        <w:rPr>
          <w:rFonts w:ascii="Times New Roman" w:hAnsi="Times New Roman" w:cs="Times New Roman"/>
          <w:color w:val="000000"/>
          <w:sz w:val="20"/>
        </w:rPr>
        <w:t>“</w:t>
      </w:r>
      <w:r>
        <w:rPr>
          <w:rFonts w:ascii="Times New Roman" w:hAnsi="Times New Roman" w:cs="Times New Roman"/>
          <w:color w:val="000000"/>
          <w:sz w:val="20"/>
        </w:rPr>
        <w:t>combined risk ratio</w:t>
      </w:r>
      <w:r>
        <w:rPr>
          <w:rFonts w:ascii="Times New Roman" w:hAnsi="Times New Roman" w:cs="Times New Roman"/>
          <w:color w:val="000000"/>
          <w:sz w:val="20"/>
        </w:rPr>
        <w:t>”</w:t>
      </w:r>
      <w:r>
        <w:rPr>
          <w:rFonts w:ascii="Times New Roman" w:hAnsi="Times New Roman" w:cs="Times New Roman"/>
          <w:color w:val="000000"/>
          <w:sz w:val="20"/>
        </w:rPr>
        <w:t xml:space="preserve"> based on the most </w:t>
      </w:r>
      <w:r>
        <w:rPr>
          <w:rFonts w:ascii="Times New Roman" w:hAnsi="Times New Roman" w:cs="Times New Roman"/>
          <w:color w:val="000000"/>
          <w:sz w:val="20"/>
        </w:rPr>
        <w:t>“</w:t>
      </w:r>
      <w:r>
        <w:rPr>
          <w:rFonts w:ascii="Times New Roman" w:hAnsi="Times New Roman" w:cs="Times New Roman"/>
          <w:color w:val="000000"/>
          <w:sz w:val="20"/>
        </w:rPr>
        <w:t>most conservative numbers</w:t>
      </w:r>
      <w:r>
        <w:rPr>
          <w:rFonts w:ascii="Times New Roman" w:hAnsi="Times New Roman" w:cs="Times New Roman"/>
          <w:color w:val="000000"/>
          <w:sz w:val="20"/>
        </w:rPr>
        <w:t>”</w:t>
      </w:r>
      <w:r>
        <w:rPr>
          <w:rFonts w:ascii="Times New Roman" w:hAnsi="Times New Roman" w:cs="Times New Roman"/>
          <w:color w:val="000000"/>
          <w:sz w:val="20"/>
        </w:rPr>
        <w:t xml:space="preserve"> from each of the individual studies. Whereas a risk ratio of one would mean there was no connection between glyphosa</w:t>
      </w:r>
      <w:r>
        <w:rPr>
          <w:rFonts w:ascii="Times New Roman" w:hAnsi="Times New Roman" w:cs="Times New Roman"/>
          <w:color w:val="000000"/>
          <w:sz w:val="20"/>
        </w:rPr>
        <w:t xml:space="preserve">te and the disease, and a ratio below one would mean that glyphosate provided protection from </w:t>
      </w:r>
      <w:r>
        <w:rPr>
          <w:rFonts w:ascii="Times New Roman" w:hAnsi="Times New Roman" w:cs="Times New Roman"/>
          <w:color w:val="0000FF"/>
          <w:sz w:val="20"/>
        </w:rPr>
        <w:t>lymphoma</w:t>
      </w:r>
      <w:r>
        <w:rPr>
          <w:rFonts w:ascii="Times New Roman" w:hAnsi="Times New Roman" w:cs="Times New Roman"/>
          <w:color w:val="000000"/>
          <w:sz w:val="20"/>
        </w:rPr>
        <w:t xml:space="preserve">, Neugut found that there was a risk ratio of 1.3, </w:t>
      </w:r>
      <w:r>
        <w:rPr>
          <w:rFonts w:ascii="Times New Roman" w:hAnsi="Times New Roman" w:cs="Times New Roman"/>
          <w:color w:val="000000"/>
          <w:sz w:val="20"/>
        </w:rPr>
        <w:t>“</w:t>
      </w:r>
      <w:r>
        <w:rPr>
          <w:rFonts w:ascii="Times New Roman" w:hAnsi="Times New Roman" w:cs="Times New Roman"/>
          <w:color w:val="000000"/>
          <w:sz w:val="20"/>
        </w:rPr>
        <w:t xml:space="preserve">meaning that there was a 30-percent increased risk of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in the context of glyphos</w:t>
      </w:r>
      <w:r>
        <w:rPr>
          <w:rFonts w:ascii="Times New Roman" w:hAnsi="Times New Roman" w:cs="Times New Roman"/>
          <w:color w:val="000000"/>
          <w:sz w:val="20"/>
        </w:rPr>
        <w:t>ate exposure.</w:t>
      </w:r>
      <w:r>
        <w:rPr>
          <w:rFonts w:ascii="Times New Roman" w:hAnsi="Times New Roman" w:cs="Times New Roman"/>
          <w:color w:val="000000"/>
          <w:sz w:val="20"/>
        </w:rPr>
        <w:t>”</w:t>
      </w:r>
      <w:r>
        <w:rPr>
          <w:rFonts w:ascii="Times New Roman" w:hAnsi="Times New Roman" w:cs="Times New Roman"/>
          <w:color w:val="000000"/>
          <w:sz w:val="20"/>
        </w:rPr>
        <w:t xml:space="preserve"> Neugut testified that such a percentage was a </w:t>
      </w:r>
      <w:r>
        <w:rPr>
          <w:rFonts w:ascii="Times New Roman" w:hAnsi="Times New Roman" w:cs="Times New Roman"/>
          <w:color w:val="000000"/>
          <w:sz w:val="20"/>
        </w:rPr>
        <w:t>“</w:t>
      </w:r>
      <w:r>
        <w:rPr>
          <w:rFonts w:ascii="Times New Roman" w:hAnsi="Times New Roman" w:cs="Times New Roman"/>
          <w:color w:val="000000"/>
          <w:sz w:val="20"/>
        </w:rPr>
        <w:t>statistically significant increased risk.</w:t>
      </w:r>
      <w:r>
        <w:rPr>
          <w:rFonts w:ascii="Times New Roman" w:hAnsi="Times New Roman" w:cs="Times New Roman"/>
          <w:color w:val="000000"/>
          <w:sz w:val="20"/>
        </w:rPr>
        <w:t>”</w:t>
      </w:r>
      <w:r>
        <w:rPr>
          <w:rFonts w:ascii="Times New Roman" w:hAnsi="Times New Roman" w:cs="Times New Roman"/>
          <w:color w:val="000000"/>
          <w:sz w:val="20"/>
        </w:rPr>
        <w:t xml:space="preserve"> He opined that exposure to glyphosate causes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to a reasonable degree of scientific certainty.</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Dr. Chadi Nabhan, a hematologis</w:t>
      </w:r>
      <w:r>
        <w:rPr>
          <w:rFonts w:ascii="Times New Roman" w:hAnsi="Times New Roman" w:cs="Times New Roman"/>
          <w:color w:val="000000"/>
          <w:sz w:val="20"/>
        </w:rPr>
        <w:t xml:space="preserve">t and medical oncologist who specializes in both Hodgkin and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lymphomas</w:t>
      </w:r>
      <w:r>
        <w:rPr>
          <w:rFonts w:ascii="Times New Roman" w:hAnsi="Times New Roman" w:cs="Times New Roman"/>
          <w:color w:val="000000"/>
          <w:sz w:val="20"/>
        </w:rPr>
        <w:t xml:space="preserve">, testified for Johnson as an expert in the diagnosis and treatment of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Nabhan evaluated whether glyphosate causes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generally a</w:t>
      </w:r>
      <w:r>
        <w:rPr>
          <w:rFonts w:ascii="Times New Roman" w:hAnsi="Times New Roman" w:cs="Times New Roman"/>
          <w:color w:val="000000"/>
          <w:sz w:val="20"/>
        </w:rPr>
        <w:t>nd whether Roundup products caused Johnson</w:t>
      </w:r>
      <w:r>
        <w:rPr>
          <w:rFonts w:ascii="Times New Roman" w:hAnsi="Times New Roman" w:cs="Times New Roman"/>
          <w:color w:val="000000"/>
          <w:sz w:val="20"/>
        </w:rPr>
        <w:t>’</w:t>
      </w:r>
      <w:r>
        <w:rPr>
          <w:rFonts w:ascii="Times New Roman" w:hAnsi="Times New Roman" w:cs="Times New Roman"/>
          <w:color w:val="000000"/>
          <w:sz w:val="20"/>
        </w:rPr>
        <w:t xml:space="preserve">s illness specifically. Based on his review of various studies, including the Monograph, Nabhan concluded that to a reasonable degree of medical certainty, glyphosate </w:t>
      </w:r>
      <w:r>
        <w:rPr>
          <w:rFonts w:ascii="Times New Roman" w:hAnsi="Times New Roman" w:cs="Times New Roman"/>
          <w:color w:val="000000"/>
          <w:sz w:val="20"/>
        </w:rPr>
        <w:t>“</w:t>
      </w:r>
      <w:r>
        <w:rPr>
          <w:rFonts w:ascii="Times New Roman" w:hAnsi="Times New Roman" w:cs="Times New Roman"/>
          <w:color w:val="000000"/>
          <w:sz w:val="20"/>
        </w:rPr>
        <w:t>absolutely can cause non-Hodgkin[</w:t>
      </w:r>
      <w:r>
        <w:rPr>
          <w:rFonts w:ascii="Times New Roman" w:hAnsi="Times New Roman" w:cs="Times New Roman"/>
          <w:color w:val="000000"/>
          <w:sz w:val="20"/>
        </w:rPr>
        <w:t>’</w:t>
      </w:r>
      <w:r>
        <w:rPr>
          <w:rFonts w:ascii="Times New Roman" w:hAnsi="Times New Roman" w:cs="Times New Roman"/>
          <w:color w:val="000000"/>
          <w:sz w:val="20"/>
        </w:rPr>
        <w:t xml:space="preserve">s] </w:t>
      </w:r>
      <w:r>
        <w:rPr>
          <w:rFonts w:ascii="Times New Roman" w:hAnsi="Times New Roman" w:cs="Times New Roman"/>
          <w:color w:val="0000FF"/>
          <w:sz w:val="20"/>
        </w:rPr>
        <w:t>lymphoma</w:t>
      </w:r>
      <w:r>
        <w:rPr>
          <w:rFonts w:ascii="Times New Roman" w:hAnsi="Times New Roman" w:cs="Times New Roman"/>
          <w:color w:val="000000"/>
          <w:sz w:val="20"/>
        </w:rPr>
        <w:t>.</w:t>
      </w:r>
      <w:r>
        <w:rPr>
          <w:rFonts w:ascii="Times New Roman" w:hAnsi="Times New Roman" w:cs="Times New Roman"/>
          <w:color w:val="000000"/>
          <w:sz w:val="20"/>
        </w:rPr>
        <w:t>”</w:t>
      </w:r>
      <w:r>
        <w:rPr>
          <w:rFonts w:ascii="Times New Roman" w:hAnsi="Times New Roman" w:cs="Times New Roman"/>
          <w:color w:val="000000"/>
          <w:sz w:val="20"/>
        </w:rPr>
        <w:t xml:space="preserve"> Nabhan also reviewed thousands of Johnson</w:t>
      </w:r>
      <w:r>
        <w:rPr>
          <w:rFonts w:ascii="Times New Roman" w:hAnsi="Times New Roman" w:cs="Times New Roman"/>
          <w:color w:val="000000"/>
          <w:sz w:val="20"/>
        </w:rPr>
        <w:t>’</w:t>
      </w:r>
      <w:r>
        <w:rPr>
          <w:rFonts w:ascii="Times New Roman" w:hAnsi="Times New Roman" w:cs="Times New Roman"/>
          <w:color w:val="000000"/>
          <w:sz w:val="20"/>
        </w:rPr>
        <w:t>s medical records, spoke with Johnson, and examined him. He opined that Roundup products were a substantial contributing factor in the development of Johnson</w:t>
      </w:r>
      <w:r>
        <w:rPr>
          <w:rFonts w:ascii="Times New Roman" w:hAnsi="Times New Roman" w:cs="Times New Roman"/>
          <w:color w:val="000000"/>
          <w:sz w:val="20"/>
        </w:rPr>
        <w:t>’</w:t>
      </w:r>
      <w:r>
        <w:rPr>
          <w:rFonts w:ascii="Times New Roman" w:hAnsi="Times New Roman" w:cs="Times New Roman"/>
          <w:color w:val="000000"/>
          <w:sz w:val="20"/>
        </w:rPr>
        <w:t xml:space="preserve">s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Dr. William Sawyer, a for</w:t>
      </w:r>
      <w:r>
        <w:rPr>
          <w:rFonts w:ascii="Times New Roman" w:hAnsi="Times New Roman" w:cs="Times New Roman"/>
          <w:color w:val="000000"/>
          <w:sz w:val="20"/>
        </w:rPr>
        <w:t>ensic toxicologist, testified for Johnson as an expert in toxicology and forensic toxicology. He had followed peer-reviewed literature on glyphosate since the mid-1990s, and he testified that, to a reasonable degree of scientific certainty, glyphosate is a</w:t>
      </w:r>
      <w:r>
        <w:rPr>
          <w:rFonts w:ascii="Times New Roman" w:hAnsi="Times New Roman" w:cs="Times New Roman"/>
          <w:color w:val="000000"/>
          <w:sz w:val="20"/>
        </w:rPr>
        <w:t xml:space="preserve"> known carcinogen and Roundup products can cause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He also testified that the additives to glyphosate used in Roundup products increase and enhance glyphosate</w:t>
      </w:r>
      <w:r>
        <w:rPr>
          <w:rFonts w:ascii="Times New Roman" w:hAnsi="Times New Roman" w:cs="Times New Roman"/>
          <w:color w:val="000000"/>
          <w:sz w:val="20"/>
        </w:rPr>
        <w:t>’</w:t>
      </w:r>
      <w:r>
        <w:rPr>
          <w:rFonts w:ascii="Times New Roman" w:hAnsi="Times New Roman" w:cs="Times New Roman"/>
          <w:color w:val="000000"/>
          <w:sz w:val="20"/>
        </w:rPr>
        <w:t>s carcinogenicity. As for Johnson specifically, Sawyer opined that Johnson</w:t>
      </w:r>
      <w:r>
        <w:rPr>
          <w:rFonts w:ascii="Times New Roman" w:hAnsi="Times New Roman" w:cs="Times New Roman"/>
          <w:color w:val="000000"/>
          <w:sz w:val="20"/>
        </w:rPr>
        <w:t>’</w:t>
      </w:r>
      <w:r>
        <w:rPr>
          <w:rFonts w:ascii="Times New Roman" w:hAnsi="Times New Roman" w:cs="Times New Roman"/>
          <w:color w:val="000000"/>
          <w:sz w:val="20"/>
        </w:rPr>
        <w:t xml:space="preserve">s heavy exposure to Roundup products caused his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Sawyer expressed his view that Roundup products should include </w:t>
      </w:r>
      <w:r>
        <w:rPr>
          <w:rFonts w:ascii="Times New Roman" w:hAnsi="Times New Roman" w:cs="Times New Roman"/>
          <w:color w:val="000000"/>
          <w:sz w:val="20"/>
        </w:rPr>
        <w:t>“</w:t>
      </w:r>
      <w:r>
        <w:rPr>
          <w:rFonts w:ascii="Times New Roman" w:hAnsi="Times New Roman" w:cs="Times New Roman"/>
          <w:color w:val="000000"/>
          <w:sz w:val="20"/>
        </w:rPr>
        <w:t>proper warnings</w:t>
      </w:r>
      <w:r>
        <w:rPr>
          <w:rFonts w:ascii="Times New Roman" w:hAnsi="Times New Roman" w:cs="Times New Roman"/>
          <w:color w:val="000000"/>
          <w:sz w:val="20"/>
        </w:rPr>
        <w:t>”</w:t>
      </w:r>
      <w:r>
        <w:rPr>
          <w:rFonts w:ascii="Times New Roman" w:hAnsi="Times New Roman" w:cs="Times New Roman"/>
          <w:color w:val="000000"/>
          <w:sz w:val="20"/>
        </w:rPr>
        <w:t xml:space="preserve"> to inform consumers </w:t>
      </w:r>
      <w:r>
        <w:rPr>
          <w:rFonts w:ascii="Times New Roman" w:hAnsi="Times New Roman" w:cs="Times New Roman"/>
          <w:color w:val="000000"/>
          <w:sz w:val="20"/>
        </w:rPr>
        <w:t>“</w:t>
      </w:r>
      <w:r>
        <w:rPr>
          <w:rFonts w:ascii="Times New Roman" w:hAnsi="Times New Roman" w:cs="Times New Roman"/>
          <w:color w:val="000000"/>
          <w:sz w:val="20"/>
        </w:rPr>
        <w:t>that they were dealing with a carcinogen,</w:t>
      </w:r>
      <w:r>
        <w:rPr>
          <w:rFonts w:ascii="Times New Roman" w:hAnsi="Times New Roman" w:cs="Times New Roman"/>
          <w:color w:val="000000"/>
          <w:sz w:val="20"/>
        </w:rPr>
        <w:t>”</w:t>
      </w:r>
      <w:r>
        <w:rPr>
          <w:rFonts w:ascii="Times New Roman" w:hAnsi="Times New Roman" w:cs="Times New Roman"/>
          <w:color w:val="000000"/>
          <w:sz w:val="20"/>
        </w:rPr>
        <w:t xml:space="preserve"> and that the product should be </w:t>
      </w:r>
      <w:r>
        <w:rPr>
          <w:rFonts w:ascii="Times New Roman" w:hAnsi="Times New Roman" w:cs="Times New Roman"/>
          <w:color w:val="000000"/>
          <w:sz w:val="20"/>
        </w:rPr>
        <w:t>“</w:t>
      </w:r>
      <w:r>
        <w:rPr>
          <w:rFonts w:ascii="Times New Roman" w:hAnsi="Times New Roman" w:cs="Times New Roman"/>
          <w:color w:val="000000"/>
          <w:sz w:val="20"/>
        </w:rPr>
        <w:t>used in</w:t>
      </w:r>
      <w:r>
        <w:rPr>
          <w:rFonts w:ascii="Times New Roman" w:hAnsi="Times New Roman" w:cs="Times New Roman"/>
          <w:color w:val="000000"/>
          <w:sz w:val="20"/>
        </w:rPr>
        <w:t xml:space="preserve"> a limited fashion without producing what we call aerosol, that is aerosol that drifts and gets all over the body.</w:t>
      </w:r>
      <w:r>
        <w:rPr>
          <w:rFonts w:ascii="Times New Roman" w:hAnsi="Times New Roman" w:cs="Times New Roman"/>
          <w:color w:val="000000"/>
          <w:sz w:val="20"/>
        </w:rPr>
        <w:t>”</w:t>
      </w:r>
      <w:r>
        <w:rPr>
          <w:rFonts w:ascii="Times New Roman" w:hAnsi="Times New Roman" w:cs="Times New Roman"/>
          <w:color w:val="000000"/>
          <w:sz w:val="20"/>
        </w:rPr>
        <w:t xml:space="preserve"> He believed that </w:t>
      </w:r>
      <w:r>
        <w:rPr>
          <w:rFonts w:ascii="Times New Roman" w:hAnsi="Times New Roman" w:cs="Times New Roman"/>
          <w:color w:val="000000"/>
          <w:sz w:val="20"/>
        </w:rPr>
        <w:t>Roundup products could be used safely so long as they were used with appropriate warnings and proper equipment.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14" w:name="co_pp_sp_999_5_1"/>
      <w:bookmarkEnd w:id="14"/>
      <w:r>
        <w:rPr>
          <w:rFonts w:ascii="Times New Roman" w:hAnsi="Times New Roman" w:cs="Times New Roman"/>
          <w:b/>
          <w:color w:val="000000"/>
          <w:sz w:val="20"/>
        </w:rPr>
        <w:t>*5</w:t>
      </w:r>
      <w:r>
        <w:rPr>
          <w:rFonts w:ascii="Times New Roman" w:hAnsi="Times New Roman" w:cs="Times New Roman"/>
          <w:color w:val="000000"/>
          <w:sz w:val="20"/>
        </w:rPr>
        <w:t xml:space="preserve"> Dr. Charles Benbrook, a scientist who works on pesticide regulation, spent about 16 years studying the effects of glyphosate. He was asked in connection with this litigation to look at the relationship between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w:t>
      </w:r>
      <w:r>
        <w:rPr>
          <w:rFonts w:ascii="Times New Roman" w:hAnsi="Times New Roman" w:cs="Times New Roman"/>
          <w:color w:val="0000FF"/>
          <w:sz w:val="20"/>
        </w:rPr>
        <w:t>ma</w:t>
      </w:r>
      <w:r>
        <w:rPr>
          <w:rFonts w:ascii="Times New Roman" w:hAnsi="Times New Roman" w:cs="Times New Roman"/>
          <w:color w:val="000000"/>
          <w:sz w:val="20"/>
        </w:rPr>
        <w:t xml:space="preserve"> and glyphosate, and he agreed to testify for Johnson as an expert in pesticide regulation and pesticide risk assessment. He explained the EPA</w:t>
      </w:r>
      <w:r>
        <w:rPr>
          <w:rFonts w:ascii="Times New Roman" w:hAnsi="Times New Roman" w:cs="Times New Roman"/>
          <w:color w:val="000000"/>
          <w:sz w:val="20"/>
        </w:rPr>
        <w:t>’</w:t>
      </w:r>
      <w:r>
        <w:rPr>
          <w:rFonts w:ascii="Times New Roman" w:hAnsi="Times New Roman" w:cs="Times New Roman"/>
          <w:color w:val="000000"/>
          <w:sz w:val="20"/>
        </w:rPr>
        <w:t>s process to test a new pesticide and the differences between an IARC analysis and an EPA risk assessment. He p</w:t>
      </w:r>
      <w:r>
        <w:rPr>
          <w:rFonts w:ascii="Times New Roman" w:hAnsi="Times New Roman" w:cs="Times New Roman"/>
          <w:color w:val="000000"/>
          <w:sz w:val="20"/>
        </w:rPr>
        <w:t xml:space="preserve">ointed out that the IARC relies only on scientific studies in peer-reviewed journals </w:t>
      </w:r>
      <w:r>
        <w:rPr>
          <w:rFonts w:ascii="Times New Roman" w:hAnsi="Times New Roman" w:cs="Times New Roman"/>
          <w:color w:val="000000"/>
          <w:sz w:val="20"/>
        </w:rPr>
        <w:t>“</w:t>
      </w:r>
      <w:r>
        <w:rPr>
          <w:rFonts w:ascii="Times New Roman" w:hAnsi="Times New Roman" w:cs="Times New Roman"/>
          <w:color w:val="000000"/>
          <w:sz w:val="20"/>
        </w:rPr>
        <w:t>where all the data is available, the methods are available, the science is transparent, ... full[y] explained.</w:t>
      </w:r>
      <w:r>
        <w:rPr>
          <w:rFonts w:ascii="Times New Roman" w:hAnsi="Times New Roman" w:cs="Times New Roman"/>
          <w:color w:val="000000"/>
          <w:sz w:val="20"/>
        </w:rPr>
        <w:t>”</w:t>
      </w:r>
      <w:r>
        <w:rPr>
          <w:rFonts w:ascii="Times New Roman" w:hAnsi="Times New Roman" w:cs="Times New Roman"/>
          <w:color w:val="000000"/>
          <w:sz w:val="20"/>
        </w:rPr>
        <w:t xml:space="preserve"> And he explained that the EPA, by contrast, mostly bases i</w:t>
      </w:r>
      <w:r>
        <w:rPr>
          <w:rFonts w:ascii="Times New Roman" w:hAnsi="Times New Roman" w:cs="Times New Roman"/>
          <w:color w:val="000000"/>
          <w:sz w:val="20"/>
        </w:rPr>
        <w:t>ts risk assessments on studies conducted by the companies seeking pesticide registration, and these studies are conducted only on the active ingredient, as opposed to the full product.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Monsanto presented its own experts. Dr. Kassim Al-Khatib, a professor</w:t>
      </w:r>
      <w:r>
        <w:rPr>
          <w:rFonts w:ascii="Times New Roman" w:hAnsi="Times New Roman" w:cs="Times New Roman"/>
          <w:color w:val="000000"/>
          <w:sz w:val="20"/>
        </w:rPr>
        <w:t xml:space="preserve"> at the University of California at Davis who studies weeds and served as the director for the University</w:t>
      </w:r>
      <w:r>
        <w:rPr>
          <w:rFonts w:ascii="Times New Roman" w:hAnsi="Times New Roman" w:cs="Times New Roman"/>
          <w:color w:val="000000"/>
          <w:sz w:val="20"/>
        </w:rPr>
        <w:t>’</w:t>
      </w:r>
      <w:r>
        <w:rPr>
          <w:rFonts w:ascii="Times New Roman" w:hAnsi="Times New Roman" w:cs="Times New Roman"/>
          <w:color w:val="000000"/>
          <w:sz w:val="20"/>
        </w:rPr>
        <w:t>s statewide integrated pest-management program, testified as an expert in the areas of weed science, drift, and the use and application of glyphosate-</w:t>
      </w:r>
      <w:r>
        <w:rPr>
          <w:rFonts w:ascii="Times New Roman" w:hAnsi="Times New Roman" w:cs="Times New Roman"/>
          <w:color w:val="000000"/>
          <w:sz w:val="20"/>
        </w:rPr>
        <w:t xml:space="preserve">based herbicides. He testified that when applying herbicide to a large area, it is unnecessary to spray the entire area and one should instead target weeds individually. He opined that because Johnson sprayed correctly, the drift he experienced would have </w:t>
      </w:r>
      <w:r>
        <w:rPr>
          <w:rFonts w:ascii="Times New Roman" w:hAnsi="Times New Roman" w:cs="Times New Roman"/>
          <w:color w:val="000000"/>
          <w:sz w:val="20"/>
        </w:rPr>
        <w:t xml:space="preserve">been </w:t>
      </w:r>
      <w:r>
        <w:rPr>
          <w:rFonts w:ascii="Times New Roman" w:hAnsi="Times New Roman" w:cs="Times New Roman"/>
          <w:color w:val="000000"/>
          <w:sz w:val="20"/>
        </w:rPr>
        <w:t>“</w:t>
      </w:r>
      <w:r>
        <w:rPr>
          <w:rFonts w:ascii="Times New Roman" w:hAnsi="Times New Roman" w:cs="Times New Roman"/>
          <w:color w:val="000000"/>
          <w:sz w:val="20"/>
        </w:rPr>
        <w:t>insignificant.</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Dr. Loreli Mucci, a </w:t>
      </w:r>
      <w:r>
        <w:rPr>
          <w:rFonts w:ascii="Times New Roman" w:hAnsi="Times New Roman" w:cs="Times New Roman"/>
          <w:color w:val="0000FF"/>
          <w:sz w:val="20"/>
        </w:rPr>
        <w:t>cancer</w:t>
      </w:r>
      <w:r>
        <w:rPr>
          <w:rFonts w:ascii="Times New Roman" w:hAnsi="Times New Roman" w:cs="Times New Roman"/>
          <w:color w:val="000000"/>
          <w:sz w:val="20"/>
        </w:rPr>
        <w:t xml:space="preserve"> epidemiologist who works as an associate professor of epidemiology at the Harvard School of Public Health and is the leader of the </w:t>
      </w:r>
      <w:r>
        <w:rPr>
          <w:rFonts w:ascii="Times New Roman" w:hAnsi="Times New Roman" w:cs="Times New Roman"/>
          <w:color w:val="0000FF"/>
          <w:sz w:val="20"/>
        </w:rPr>
        <w:t>cancer</w:t>
      </w:r>
      <w:r>
        <w:rPr>
          <w:rFonts w:ascii="Times New Roman" w:hAnsi="Times New Roman" w:cs="Times New Roman"/>
          <w:color w:val="000000"/>
          <w:sz w:val="20"/>
        </w:rPr>
        <w:t xml:space="preserve"> epidemiology program at Harvard</w:t>
      </w:r>
      <w:r>
        <w:rPr>
          <w:rFonts w:ascii="Times New Roman" w:hAnsi="Times New Roman" w:cs="Times New Roman"/>
          <w:color w:val="000000"/>
          <w:sz w:val="20"/>
        </w:rPr>
        <w:t>’</w:t>
      </w:r>
      <w:r>
        <w:rPr>
          <w:rFonts w:ascii="Times New Roman" w:hAnsi="Times New Roman" w:cs="Times New Roman"/>
          <w:color w:val="000000"/>
          <w:sz w:val="20"/>
        </w:rPr>
        <w:t xml:space="preserve">s </w:t>
      </w:r>
      <w:r>
        <w:rPr>
          <w:rFonts w:ascii="Times New Roman" w:hAnsi="Times New Roman" w:cs="Times New Roman"/>
          <w:color w:val="0000FF"/>
          <w:sz w:val="20"/>
        </w:rPr>
        <w:t>cancer</w:t>
      </w:r>
      <w:r>
        <w:rPr>
          <w:rFonts w:ascii="Times New Roman" w:hAnsi="Times New Roman" w:cs="Times New Roman"/>
          <w:color w:val="000000"/>
          <w:sz w:val="20"/>
        </w:rPr>
        <w:t xml:space="preserve"> center, testified for Monsanto as an expert in </w:t>
      </w:r>
      <w:r>
        <w:rPr>
          <w:rFonts w:ascii="Times New Roman" w:hAnsi="Times New Roman" w:cs="Times New Roman"/>
          <w:color w:val="0000FF"/>
          <w:sz w:val="20"/>
        </w:rPr>
        <w:t>cancer</w:t>
      </w:r>
      <w:r>
        <w:rPr>
          <w:rFonts w:ascii="Times New Roman" w:hAnsi="Times New Roman" w:cs="Times New Roman"/>
          <w:color w:val="000000"/>
          <w:sz w:val="20"/>
        </w:rPr>
        <w:t xml:space="preserve"> epidemiology. She explained why, in her view, the connections between the use of glyphosate and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could be less pronounced than some studies suggest. Mucci also highlighted a 2005 </w:t>
      </w:r>
      <w:r>
        <w:rPr>
          <w:rFonts w:ascii="Times New Roman" w:hAnsi="Times New Roman" w:cs="Times New Roman"/>
          <w:color w:val="000000"/>
          <w:sz w:val="20"/>
        </w:rPr>
        <w:t>“</w:t>
      </w:r>
      <w:r>
        <w:rPr>
          <w:rFonts w:ascii="Times New Roman" w:hAnsi="Times New Roman" w:cs="Times New Roman"/>
          <w:color w:val="000000"/>
          <w:sz w:val="20"/>
        </w:rPr>
        <w:t>De Roos study</w:t>
      </w:r>
      <w:r>
        <w:rPr>
          <w:rFonts w:ascii="Times New Roman" w:hAnsi="Times New Roman" w:cs="Times New Roman"/>
          <w:color w:val="000000"/>
          <w:sz w:val="20"/>
        </w:rPr>
        <w:t>”</w:t>
      </w:r>
      <w:r>
        <w:rPr>
          <w:rFonts w:ascii="Times New Roman" w:hAnsi="Times New Roman" w:cs="Times New Roman"/>
          <w:color w:val="000000"/>
          <w:sz w:val="20"/>
        </w:rPr>
        <w:t xml:space="preserve"> that found no observed association between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and glyphosate. She further testified about a study published in 2018 in the Journal of the National Cancer Institute that showed no evidence of a positive association betwee</w:t>
      </w:r>
      <w:r>
        <w:rPr>
          <w:rFonts w:ascii="Times New Roman" w:hAnsi="Times New Roman" w:cs="Times New Roman"/>
          <w:color w:val="000000"/>
          <w:sz w:val="20"/>
        </w:rPr>
        <w:t xml:space="preserve">n exposure to glyphosate and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Dr. Warren Foster, a professor at McMaster University in Ontario who works in the department of obstetrics and gynecology and conducts animal studies, testified for Monsanto as an expert in toxicology </w:t>
      </w:r>
      <w:r>
        <w:rPr>
          <w:rFonts w:ascii="Times New Roman" w:hAnsi="Times New Roman" w:cs="Times New Roman"/>
          <w:color w:val="000000"/>
          <w:sz w:val="20"/>
        </w:rPr>
        <w:t xml:space="preserve">and the design, </w:t>
      </w:r>
      <w:r>
        <w:rPr>
          <w:rFonts w:ascii="Times New Roman" w:hAnsi="Times New Roman" w:cs="Times New Roman"/>
          <w:color w:val="000000"/>
          <w:sz w:val="20"/>
        </w:rPr>
        <w:lastRenderedPageBreak/>
        <w:t>evaluation, and interpretation of long-term rodent carcinogenicity studies. He reviewed 12 long-term rodent studies regarding glyphosate Foster worked at Health Canada, a Canadian government agency that is responsible for environmental cont</w:t>
      </w:r>
      <w:r>
        <w:rPr>
          <w:rFonts w:ascii="Times New Roman" w:hAnsi="Times New Roman" w:cs="Times New Roman"/>
          <w:color w:val="000000"/>
          <w:sz w:val="20"/>
        </w:rPr>
        <w:t xml:space="preserve">aminants, and was familiar with the Canadian standards for animal testing. Foster opined that it would have been infeasible for Monsanto to conduct long-term carcinogenicity glyphosate testing on rodents because the animals could not survive the detergent </w:t>
      </w:r>
      <w:r>
        <w:rPr>
          <w:rFonts w:ascii="Times New Roman" w:hAnsi="Times New Roman" w:cs="Times New Roman"/>
          <w:color w:val="000000"/>
          <w:sz w:val="20"/>
        </w:rPr>
        <w:t>ingredients that would be included.</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Finally, Dr. Timothy Kuzel, the chief of the division of hematology, oncology, and cell therapy at Chicago</w:t>
      </w:r>
      <w:r>
        <w:rPr>
          <w:rFonts w:ascii="Times New Roman" w:hAnsi="Times New Roman" w:cs="Times New Roman"/>
          <w:color w:val="000000"/>
          <w:sz w:val="20"/>
        </w:rPr>
        <w:t>’</w:t>
      </w:r>
      <w:r>
        <w:rPr>
          <w:rFonts w:ascii="Times New Roman" w:hAnsi="Times New Roman" w:cs="Times New Roman"/>
          <w:color w:val="000000"/>
          <w:sz w:val="20"/>
        </w:rPr>
        <w:t xml:space="preserve">s Rush University and a physician who treats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patients, testified for Monsanto as an expe</w:t>
      </w:r>
      <w:r>
        <w:rPr>
          <w:rFonts w:ascii="Times New Roman" w:hAnsi="Times New Roman" w:cs="Times New Roman"/>
          <w:color w:val="000000"/>
          <w:sz w:val="20"/>
        </w:rPr>
        <w:t xml:space="preserve">rt in </w:t>
      </w:r>
      <w:r>
        <w:rPr>
          <w:rFonts w:ascii="Times New Roman" w:hAnsi="Times New Roman" w:cs="Times New Roman"/>
          <w:color w:val="0000FF"/>
          <w:sz w:val="20"/>
        </w:rPr>
        <w:t>mycosis</w:t>
      </w:r>
      <w:r>
        <w:rPr>
          <w:rFonts w:ascii="Times New Roman" w:hAnsi="Times New Roman" w:cs="Times New Roman"/>
          <w:color w:val="000000"/>
          <w:sz w:val="20"/>
        </w:rPr>
        <w:t xml:space="preserve"> fungoid </w:t>
      </w:r>
      <w:r>
        <w:rPr>
          <w:rFonts w:ascii="Times New Roman" w:hAnsi="Times New Roman" w:cs="Times New Roman"/>
          <w:color w:val="0000FF"/>
          <w:sz w:val="20"/>
        </w:rPr>
        <w:t>cutaneous T-cell lymphoma</w:t>
      </w:r>
      <w:r>
        <w:rPr>
          <w:rFonts w:ascii="Times New Roman" w:hAnsi="Times New Roman" w:cs="Times New Roman"/>
          <w:color w:val="000000"/>
          <w:sz w:val="20"/>
        </w:rPr>
        <w:t xml:space="preserve">,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and oncology. He testified that some forms of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are associated with a specific </w:t>
      </w:r>
      <w:r>
        <w:rPr>
          <w:rFonts w:ascii="Times New Roman" w:hAnsi="Times New Roman" w:cs="Times New Roman"/>
          <w:color w:val="0000FF"/>
          <w:sz w:val="20"/>
        </w:rPr>
        <w:t>gene mutation</w:t>
      </w:r>
      <w:r>
        <w:rPr>
          <w:rFonts w:ascii="Times New Roman" w:hAnsi="Times New Roman" w:cs="Times New Roman"/>
          <w:color w:val="000000"/>
          <w:sz w:val="20"/>
        </w:rPr>
        <w:t>. Kuzel opined that Johnson</w:t>
      </w:r>
      <w:r>
        <w:rPr>
          <w:rFonts w:ascii="Times New Roman" w:hAnsi="Times New Roman" w:cs="Times New Roman"/>
          <w:color w:val="000000"/>
          <w:sz w:val="20"/>
        </w:rPr>
        <w:t>’</w:t>
      </w:r>
      <w:r>
        <w:rPr>
          <w:rFonts w:ascii="Times New Roman" w:hAnsi="Times New Roman" w:cs="Times New Roman"/>
          <w:color w:val="000000"/>
          <w:sz w:val="20"/>
        </w:rPr>
        <w:t>s rash probably started in fall 2013. (One</w:t>
      </w:r>
      <w:r>
        <w:rPr>
          <w:rFonts w:ascii="Times New Roman" w:hAnsi="Times New Roman" w:cs="Times New Roman"/>
          <w:color w:val="000000"/>
          <w:sz w:val="20"/>
        </w:rPr>
        <w:t xml:space="preserve"> disputed issue was whether the time between Johnson</w:t>
      </w:r>
      <w:r>
        <w:rPr>
          <w:rFonts w:ascii="Times New Roman" w:hAnsi="Times New Roman" w:cs="Times New Roman"/>
          <w:color w:val="000000"/>
          <w:sz w:val="20"/>
        </w:rPr>
        <w:t>’</w:t>
      </w:r>
      <w:r>
        <w:rPr>
          <w:rFonts w:ascii="Times New Roman" w:hAnsi="Times New Roman" w:cs="Times New Roman"/>
          <w:color w:val="000000"/>
          <w:sz w:val="20"/>
        </w:rPr>
        <w:t xml:space="preserve">s use of Roundup products and the onset of his </w:t>
      </w:r>
      <w:r>
        <w:rPr>
          <w:rFonts w:ascii="Times New Roman" w:hAnsi="Times New Roman" w:cs="Times New Roman"/>
          <w:color w:val="0000FF"/>
          <w:sz w:val="20"/>
        </w:rPr>
        <w:t>cancer</w:t>
      </w:r>
      <w:r>
        <w:rPr>
          <w:rFonts w:ascii="Times New Roman" w:hAnsi="Times New Roman" w:cs="Times New Roman"/>
          <w:color w:val="000000"/>
          <w:sz w:val="20"/>
        </w:rPr>
        <w:t xml:space="preserve"> was a sufficient latency period to develop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He said he has never seen evidence that using glyphosate-based herbicides could w</w:t>
      </w:r>
      <w:r>
        <w:rPr>
          <w:rFonts w:ascii="Times New Roman" w:hAnsi="Times New Roman" w:cs="Times New Roman"/>
          <w:color w:val="000000"/>
          <w:sz w:val="20"/>
        </w:rPr>
        <w:t xml:space="preserve">orsen a case of </w:t>
      </w:r>
      <w:r>
        <w:rPr>
          <w:rFonts w:ascii="Times New Roman" w:hAnsi="Times New Roman" w:cs="Times New Roman"/>
          <w:color w:val="0000FF"/>
          <w:sz w:val="20"/>
        </w:rPr>
        <w:t>lymphoma</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The jury also heard testimony from Monsanto employees. As discussed in more detail below in the discussion on punitive damages, Johnson argued that the company and its employees were hostile to research about the possible connec</w:t>
      </w:r>
      <w:r>
        <w:rPr>
          <w:rFonts w:ascii="Times New Roman" w:hAnsi="Times New Roman" w:cs="Times New Roman"/>
          <w:color w:val="000000"/>
          <w:sz w:val="20"/>
        </w:rPr>
        <w:t xml:space="preserve">tion between glyphosate and </w:t>
      </w:r>
      <w:r>
        <w:rPr>
          <w:rFonts w:ascii="Times New Roman" w:hAnsi="Times New Roman" w:cs="Times New Roman"/>
          <w:color w:val="0000FF"/>
          <w:sz w:val="20"/>
        </w:rPr>
        <w:t>cancer</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15" w:name="co_pp_sp_999_6_1"/>
      <w:bookmarkEnd w:id="15"/>
      <w:r>
        <w:rPr>
          <w:rFonts w:ascii="Times New Roman" w:hAnsi="Times New Roman" w:cs="Times New Roman"/>
          <w:b/>
          <w:color w:val="000000"/>
          <w:sz w:val="20"/>
        </w:rPr>
        <w:t>*6</w:t>
      </w:r>
      <w:r>
        <w:rPr>
          <w:rFonts w:ascii="Times New Roman" w:hAnsi="Times New Roman" w:cs="Times New Roman"/>
          <w:color w:val="000000"/>
          <w:sz w:val="20"/>
        </w:rPr>
        <w:t xml:space="preserve"> Johnson and his wife also testified at trial.</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16" w:name="co_anchor_I2f3424e1cad611eaad728cad1da01"/>
      <w:bookmarkEnd w:id="16"/>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400"/>
        <w:ind w:left="200"/>
        <w:rPr>
          <w:rFonts w:ascii="Times New Roman" w:hAnsi="Times New Roman" w:cs="Times New Roman"/>
          <w:i/>
          <w:color w:val="000000"/>
          <w:sz w:val="20"/>
        </w:rPr>
      </w:pPr>
      <w:r>
        <w:rPr>
          <w:rFonts w:ascii="Times New Roman" w:hAnsi="Times New Roman" w:cs="Times New Roman"/>
          <w:i/>
          <w:color w:val="000000"/>
          <w:sz w:val="20"/>
        </w:rPr>
        <w:t>D. The Jury</w:t>
      </w:r>
      <w:r>
        <w:rPr>
          <w:rFonts w:ascii="Times New Roman" w:hAnsi="Times New Roman" w:cs="Times New Roman"/>
          <w:i/>
          <w:color w:val="000000"/>
          <w:sz w:val="20"/>
        </w:rPr>
        <w:t>’</w:t>
      </w:r>
      <w:r>
        <w:rPr>
          <w:rFonts w:ascii="Times New Roman" w:hAnsi="Times New Roman" w:cs="Times New Roman"/>
          <w:i/>
          <w:color w:val="000000"/>
          <w:sz w:val="20"/>
        </w:rPr>
        <w:t>s Verdict and Post-trial Proceedings.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The</w:t>
      </w:r>
      <w:r>
        <w:rPr>
          <w:rFonts w:ascii="Times New Roman" w:hAnsi="Times New Roman" w:cs="Times New Roman"/>
          <w:color w:val="000000"/>
          <w:sz w:val="20"/>
        </w:rPr>
        <w:t xml:space="preserve"> jury reached a verdict on the third day of deliberations and ruled in Johnson</w:t>
      </w:r>
      <w:r>
        <w:rPr>
          <w:rFonts w:ascii="Times New Roman" w:hAnsi="Times New Roman" w:cs="Times New Roman"/>
          <w:color w:val="000000"/>
          <w:sz w:val="20"/>
        </w:rPr>
        <w:t>’</w:t>
      </w:r>
      <w:r>
        <w:rPr>
          <w:rFonts w:ascii="Times New Roman" w:hAnsi="Times New Roman" w:cs="Times New Roman"/>
          <w:color w:val="000000"/>
          <w:sz w:val="20"/>
        </w:rPr>
        <w:t>s favor on all three theories of liability: that Monsanto failed to adequately warn of its products</w:t>
      </w:r>
      <w:r>
        <w:rPr>
          <w:rFonts w:ascii="Times New Roman" w:hAnsi="Times New Roman" w:cs="Times New Roman"/>
          <w:color w:val="000000"/>
          <w:sz w:val="20"/>
        </w:rPr>
        <w:t>’</w:t>
      </w:r>
      <w:r>
        <w:rPr>
          <w:rFonts w:ascii="Times New Roman" w:hAnsi="Times New Roman" w:cs="Times New Roman"/>
          <w:color w:val="000000"/>
          <w:sz w:val="20"/>
        </w:rPr>
        <w:t xml:space="preserve"> potential dangers (finding liability both in strict liability and for neglig</w:t>
      </w:r>
      <w:r>
        <w:rPr>
          <w:rFonts w:ascii="Times New Roman" w:hAnsi="Times New Roman" w:cs="Times New Roman"/>
          <w:color w:val="000000"/>
          <w:sz w:val="20"/>
        </w:rPr>
        <w:t>ently failing to warn) and that its products had a design defect. It awarded Johnson around $39.3 million in compensatory damages and $250 million in punitive damages.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After judgment was entered, Monsanto filed a motion for a new trial on multiple ground</w:t>
      </w:r>
      <w:r>
        <w:rPr>
          <w:rFonts w:ascii="Times New Roman" w:hAnsi="Times New Roman" w:cs="Times New Roman"/>
          <w:color w:val="000000"/>
          <w:sz w:val="20"/>
        </w:rPr>
        <w:t>s, including that the jury</w:t>
      </w:r>
      <w:r>
        <w:rPr>
          <w:rFonts w:ascii="Times New Roman" w:hAnsi="Times New Roman" w:cs="Times New Roman"/>
          <w:color w:val="000000"/>
          <w:sz w:val="20"/>
        </w:rPr>
        <w:t>’</w:t>
      </w:r>
      <w:r>
        <w:rPr>
          <w:rFonts w:ascii="Times New Roman" w:hAnsi="Times New Roman" w:cs="Times New Roman"/>
          <w:color w:val="000000"/>
          <w:sz w:val="20"/>
        </w:rPr>
        <w:t>s award of damages was excessive (</w:t>
      </w:r>
      <w:r>
        <w:rPr>
          <w:rFonts w:ascii="Times New Roman" w:hAnsi="Times New Roman" w:cs="Times New Roman"/>
          <w:color w:val="0000FF"/>
          <w:sz w:val="20"/>
        </w:rPr>
        <w:t>Code Civ. Proc., § 657, subd. (5)</w:t>
      </w:r>
      <w:r>
        <w:rPr>
          <w:rFonts w:ascii="Times New Roman" w:hAnsi="Times New Roman" w:cs="Times New Roman"/>
          <w:color w:val="000000"/>
          <w:sz w:val="20"/>
        </w:rPr>
        <w:t xml:space="preserve">). It also filed a motion for judgment notwithstanding the verdict, arguing that Johnson was not </w:t>
      </w:r>
      <w:r>
        <w:rPr>
          <w:rFonts w:ascii="Times New Roman" w:hAnsi="Times New Roman" w:cs="Times New Roman"/>
          <w:color w:val="000000"/>
          <w:sz w:val="20"/>
        </w:rPr>
        <w:t>entitled to punitive damages.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The trial court issued a tentative ruling indicating its intent to grant Monsanto</w:t>
      </w:r>
      <w:r>
        <w:rPr>
          <w:rFonts w:ascii="Times New Roman" w:hAnsi="Times New Roman" w:cs="Times New Roman"/>
          <w:color w:val="000000"/>
          <w:sz w:val="20"/>
        </w:rPr>
        <w:t>’</w:t>
      </w:r>
      <w:r>
        <w:rPr>
          <w:rFonts w:ascii="Times New Roman" w:hAnsi="Times New Roman" w:cs="Times New Roman"/>
          <w:color w:val="000000"/>
          <w:sz w:val="20"/>
        </w:rPr>
        <w:t xml:space="preserve">s motions on the issue of punitive damages. The tentative ruling explained why Johnson had not presented clear and convincing evidence of malice or oppression to support the </w:t>
      </w:r>
      <w:r>
        <w:rPr>
          <w:rFonts w:ascii="Times New Roman" w:hAnsi="Times New Roman" w:cs="Times New Roman"/>
          <w:color w:val="000000"/>
          <w:sz w:val="20"/>
        </w:rPr>
        <w:t>award (</w:t>
      </w:r>
      <w:r>
        <w:rPr>
          <w:rFonts w:ascii="Times New Roman" w:hAnsi="Times New Roman" w:cs="Times New Roman"/>
          <w:color w:val="0000FF"/>
          <w:sz w:val="20"/>
        </w:rPr>
        <w:t>Civ. Code, § 3294, subd. (a)</w:t>
      </w:r>
      <w:r>
        <w:rPr>
          <w:rFonts w:ascii="Times New Roman" w:hAnsi="Times New Roman" w:cs="Times New Roman"/>
          <w:color w:val="000000"/>
          <w:sz w:val="20"/>
        </w:rPr>
        <w:t>). The court emphasized that worldwide regulators continued to conclude that glyphosate-based herbicides were safe and not carcinogenic. As for Johnson</w:t>
      </w:r>
      <w:r>
        <w:rPr>
          <w:rFonts w:ascii="Times New Roman" w:hAnsi="Times New Roman" w:cs="Times New Roman"/>
          <w:color w:val="000000"/>
          <w:sz w:val="20"/>
        </w:rPr>
        <w:t>’</w:t>
      </w:r>
      <w:r>
        <w:rPr>
          <w:rFonts w:ascii="Times New Roman" w:hAnsi="Times New Roman" w:cs="Times New Roman"/>
          <w:color w:val="000000"/>
          <w:sz w:val="20"/>
        </w:rPr>
        <w:t xml:space="preserve">s claims that Monsanto refused to conduct studies recommended by the </w:t>
      </w:r>
      <w:r>
        <w:rPr>
          <w:rFonts w:ascii="Times New Roman" w:hAnsi="Times New Roman" w:cs="Times New Roman"/>
          <w:color w:val="0000FF"/>
          <w:sz w:val="20"/>
        </w:rPr>
        <w:t>genotoxicity</w:t>
      </w:r>
      <w:r>
        <w:rPr>
          <w:rFonts w:ascii="Times New Roman" w:hAnsi="Times New Roman" w:cs="Times New Roman"/>
          <w:color w:val="000000"/>
          <w:sz w:val="20"/>
        </w:rPr>
        <w:t xml:space="preserve"> expert it had hired in the late 1990s, the court noted that Monsanto ultimately conducted all but one of the tests and publicly released the results. And as for Johnson</w:t>
      </w:r>
      <w:r>
        <w:rPr>
          <w:rFonts w:ascii="Times New Roman" w:hAnsi="Times New Roman" w:cs="Times New Roman"/>
          <w:color w:val="000000"/>
          <w:sz w:val="20"/>
        </w:rPr>
        <w:t>’</w:t>
      </w:r>
      <w:r>
        <w:rPr>
          <w:rFonts w:ascii="Times New Roman" w:hAnsi="Times New Roman" w:cs="Times New Roman"/>
          <w:color w:val="000000"/>
          <w:sz w:val="20"/>
        </w:rPr>
        <w:t>s claim that Monsanto ghost wrote articles, the court stated that Monsanto</w:t>
      </w:r>
      <w:r>
        <w:rPr>
          <w:rFonts w:ascii="Times New Roman" w:hAnsi="Times New Roman" w:cs="Times New Roman"/>
          <w:color w:val="000000"/>
          <w:sz w:val="20"/>
        </w:rPr>
        <w:t xml:space="preserve"> employees were listed as contributors to the articles, and there was no evidence that the articles contained material scientific misstatements. Finally, the court stated that there was no evidence that Monsanto scientists who were involved in evaluating g</w:t>
      </w:r>
      <w:r>
        <w:rPr>
          <w:rFonts w:ascii="Times New Roman" w:hAnsi="Times New Roman" w:cs="Times New Roman"/>
          <w:color w:val="000000"/>
          <w:sz w:val="20"/>
        </w:rPr>
        <w:t xml:space="preserve">lyphosate products were managing agents, which meant no malice or oppression could be imputed to a Monsanto officer, director, or managing agent of the corporation for purposes of </w:t>
      </w:r>
      <w:r>
        <w:rPr>
          <w:rFonts w:ascii="Times New Roman" w:hAnsi="Times New Roman" w:cs="Times New Roman"/>
          <w:color w:val="0000FF"/>
          <w:sz w:val="20"/>
        </w:rPr>
        <w:t>Civil Code section 3294</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Ultimately, however, the court decided not to ado</w:t>
      </w:r>
      <w:r>
        <w:rPr>
          <w:rFonts w:ascii="Times New Roman" w:hAnsi="Times New Roman" w:cs="Times New Roman"/>
          <w:color w:val="000000"/>
          <w:sz w:val="20"/>
        </w:rPr>
        <w:t>pt its tentative ruling and denied Monsanto</w:t>
      </w:r>
      <w:r>
        <w:rPr>
          <w:rFonts w:ascii="Times New Roman" w:hAnsi="Times New Roman" w:cs="Times New Roman"/>
          <w:color w:val="000000"/>
          <w:sz w:val="20"/>
        </w:rPr>
        <w:t>’</w:t>
      </w:r>
      <w:r>
        <w:rPr>
          <w:rFonts w:ascii="Times New Roman" w:hAnsi="Times New Roman" w:cs="Times New Roman"/>
          <w:color w:val="000000"/>
          <w:sz w:val="20"/>
        </w:rPr>
        <w:t>s post-trial motions on the issue of punitive damages.</w:t>
      </w:r>
      <w:bookmarkStart w:id="17" w:name="co_fnRef_B00032051484338_ID0E2YAE_1"/>
      <w:bookmarkEnd w:id="17"/>
      <w:r>
        <w:rPr>
          <w:rFonts w:ascii="Times New Roman" w:hAnsi="Times New Roman" w:cs="Times New Roman"/>
          <w:color w:val="0000FF"/>
          <w:sz w:val="16"/>
          <w:vertAlign w:val="superscript"/>
        </w:rPr>
        <w:t>2</w:t>
      </w:r>
      <w:r>
        <w:rPr>
          <w:rFonts w:ascii="Times New Roman" w:hAnsi="Times New Roman" w:cs="Times New Roman"/>
          <w:color w:val="000000"/>
          <w:sz w:val="20"/>
        </w:rPr>
        <w:t xml:space="preserve"> Its final order concluded that although no specific managing agent had authorized or r</w:t>
      </w:r>
      <w:r>
        <w:rPr>
          <w:rFonts w:ascii="Times New Roman" w:hAnsi="Times New Roman" w:cs="Times New Roman"/>
          <w:color w:val="000000"/>
          <w:sz w:val="20"/>
        </w:rPr>
        <w:t>atified malicious conduct, Johnson had proved by clear and convincing evidence that the company as a whole acted maliciously. The court concluded that the jury could have found that Monsanto</w:t>
      </w:r>
      <w:r>
        <w:rPr>
          <w:rFonts w:ascii="Times New Roman" w:hAnsi="Times New Roman" w:cs="Times New Roman"/>
          <w:color w:val="000000"/>
          <w:sz w:val="20"/>
        </w:rPr>
        <w:t>’</w:t>
      </w:r>
      <w:r>
        <w:rPr>
          <w:rFonts w:ascii="Times New Roman" w:hAnsi="Times New Roman" w:cs="Times New Roman"/>
          <w:color w:val="000000"/>
          <w:sz w:val="20"/>
        </w:rPr>
        <w:t>s decision to continue marketing Roundup products notwithstanding</w:t>
      </w:r>
      <w:r>
        <w:rPr>
          <w:rFonts w:ascii="Times New Roman" w:hAnsi="Times New Roman" w:cs="Times New Roman"/>
          <w:color w:val="000000"/>
          <w:sz w:val="20"/>
        </w:rPr>
        <w:t xml:space="preserve"> a possible link with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constituted corporate malice for purposes of punitive damages. The court compared this case to ones where a defendant had failed to adequately test a product and where there was a reasonable disagreement among e</w:t>
      </w:r>
      <w:r>
        <w:rPr>
          <w:rFonts w:ascii="Times New Roman" w:hAnsi="Times New Roman" w:cs="Times New Roman"/>
          <w:color w:val="000000"/>
          <w:sz w:val="20"/>
        </w:rPr>
        <w:t>xperts, and stressed that a jury is entitled to reject a defendant</w:t>
      </w:r>
      <w:r>
        <w:rPr>
          <w:rFonts w:ascii="Times New Roman" w:hAnsi="Times New Roman" w:cs="Times New Roman"/>
          <w:color w:val="000000"/>
          <w:sz w:val="20"/>
        </w:rPr>
        <w:t>’</w:t>
      </w:r>
      <w:r>
        <w:rPr>
          <w:rFonts w:ascii="Times New Roman" w:hAnsi="Times New Roman" w:cs="Times New Roman"/>
          <w:color w:val="000000"/>
          <w:sz w:val="20"/>
        </w:rPr>
        <w:t>s expert in reaching a verdict on punitive damages. Although the trial court</w:t>
      </w:r>
      <w:r>
        <w:rPr>
          <w:rFonts w:ascii="Times New Roman" w:hAnsi="Times New Roman" w:cs="Times New Roman"/>
          <w:color w:val="000000"/>
          <w:sz w:val="20"/>
        </w:rPr>
        <w:t>’</w:t>
      </w:r>
      <w:r>
        <w:rPr>
          <w:rFonts w:ascii="Times New Roman" w:hAnsi="Times New Roman" w:cs="Times New Roman"/>
          <w:color w:val="000000"/>
          <w:sz w:val="20"/>
        </w:rPr>
        <w:t>s final order concluded that sufficient evidence supported an award of punitive damages, it further concluded th</w:t>
      </w:r>
      <w:r>
        <w:rPr>
          <w:rFonts w:ascii="Times New Roman" w:hAnsi="Times New Roman" w:cs="Times New Roman"/>
          <w:color w:val="000000"/>
          <w:sz w:val="20"/>
        </w:rPr>
        <w:t>at due process required that the punitive damages award equal the amount of the compensatory damages award. The court thus denied Monsanto</w:t>
      </w:r>
      <w:r>
        <w:rPr>
          <w:rFonts w:ascii="Times New Roman" w:hAnsi="Times New Roman" w:cs="Times New Roman"/>
          <w:color w:val="000000"/>
          <w:sz w:val="20"/>
        </w:rPr>
        <w:t>’</w:t>
      </w:r>
      <w:r>
        <w:rPr>
          <w:rFonts w:ascii="Times New Roman" w:hAnsi="Times New Roman" w:cs="Times New Roman"/>
          <w:color w:val="000000"/>
          <w:sz w:val="20"/>
        </w:rPr>
        <w:t>s motion for judgment notwithstanding the verdict and denied the motion for new trial on the condition that Johnson a</w:t>
      </w:r>
      <w:r>
        <w:rPr>
          <w:rFonts w:ascii="Times New Roman" w:hAnsi="Times New Roman" w:cs="Times New Roman"/>
          <w:color w:val="000000"/>
          <w:sz w:val="20"/>
        </w:rPr>
        <w:t>ccept the reduced award of punitive damages.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18" w:name="co_pp_sp_999_7_1"/>
      <w:bookmarkEnd w:id="18"/>
      <w:r>
        <w:rPr>
          <w:rFonts w:ascii="Times New Roman" w:hAnsi="Times New Roman" w:cs="Times New Roman"/>
          <w:b/>
          <w:color w:val="000000"/>
          <w:sz w:val="20"/>
        </w:rPr>
        <w:t>*7</w:t>
      </w:r>
      <w:r>
        <w:rPr>
          <w:rFonts w:ascii="Times New Roman" w:hAnsi="Times New Roman" w:cs="Times New Roman"/>
          <w:color w:val="000000"/>
          <w:sz w:val="20"/>
        </w:rPr>
        <w:t xml:space="preserve"> Monsanto appealed, and Johnson cross-appealed to challenge the reduction of punitive damages. (No. A155940.) Monsanto separately appealed from the trial </w:t>
      </w:r>
      <w:r>
        <w:rPr>
          <w:rFonts w:ascii="Times New Roman" w:hAnsi="Times New Roman" w:cs="Times New Roman"/>
          <w:color w:val="000000"/>
          <w:sz w:val="20"/>
        </w:rPr>
        <w:lastRenderedPageBreak/>
        <w:t>court</w:t>
      </w:r>
      <w:r>
        <w:rPr>
          <w:rFonts w:ascii="Times New Roman" w:hAnsi="Times New Roman" w:cs="Times New Roman"/>
          <w:color w:val="000000"/>
          <w:sz w:val="20"/>
        </w:rPr>
        <w:t>’</w:t>
      </w:r>
      <w:r>
        <w:rPr>
          <w:rFonts w:ascii="Times New Roman" w:hAnsi="Times New Roman" w:cs="Times New Roman"/>
          <w:color w:val="000000"/>
          <w:sz w:val="20"/>
        </w:rPr>
        <w:t>s order awardin</w:t>
      </w:r>
      <w:r>
        <w:rPr>
          <w:rFonts w:ascii="Times New Roman" w:hAnsi="Times New Roman" w:cs="Times New Roman"/>
          <w:color w:val="000000"/>
          <w:sz w:val="20"/>
        </w:rPr>
        <w:t>g costs. (No. A156706.) This court consolidated the appeals on the parties</w:t>
      </w:r>
      <w:r>
        <w:rPr>
          <w:rFonts w:ascii="Times New Roman" w:hAnsi="Times New Roman" w:cs="Times New Roman"/>
          <w:color w:val="000000"/>
          <w:sz w:val="20"/>
        </w:rPr>
        <w:t>’</w:t>
      </w:r>
      <w:r>
        <w:rPr>
          <w:rFonts w:ascii="Times New Roman" w:hAnsi="Times New Roman" w:cs="Times New Roman"/>
          <w:color w:val="000000"/>
          <w:sz w:val="20"/>
        </w:rPr>
        <w:t xml:space="preserve"> stipulation. The court also granted Johnson</w:t>
      </w:r>
      <w:r>
        <w:rPr>
          <w:rFonts w:ascii="Times New Roman" w:hAnsi="Times New Roman" w:cs="Times New Roman"/>
          <w:color w:val="000000"/>
          <w:sz w:val="20"/>
        </w:rPr>
        <w:t>’</w:t>
      </w:r>
      <w:r>
        <w:rPr>
          <w:rFonts w:ascii="Times New Roman" w:hAnsi="Times New Roman" w:cs="Times New Roman"/>
          <w:color w:val="000000"/>
          <w:sz w:val="20"/>
        </w:rPr>
        <w:t>s motion for calendar preference.</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19" w:name="co_anchor_I2f386aa1cad611eaad728cad1da01"/>
      <w:bookmarkEnd w:id="19"/>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600" w:after="200"/>
        <w:jc w:val="center"/>
        <w:rPr>
          <w:rFonts w:ascii="Times New Roman" w:hAnsi="Times New Roman" w:cs="Times New Roman"/>
          <w:color w:val="000000"/>
          <w:sz w:val="20"/>
        </w:rPr>
      </w:pPr>
      <w:r>
        <w:rPr>
          <w:rFonts w:ascii="Times New Roman" w:hAnsi="Times New Roman" w:cs="Times New Roman"/>
          <w:color w:val="000000"/>
          <w:sz w:val="20"/>
        </w:rPr>
        <w:t>II.</w:t>
      </w:r>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600" w:after="200"/>
        <w:jc w:val="center"/>
        <w:rPr>
          <w:rFonts w:ascii="Times New Roman" w:hAnsi="Times New Roman" w:cs="Times New Roman"/>
          <w:color w:val="000000"/>
          <w:sz w:val="20"/>
        </w:rPr>
      </w:pPr>
      <w:r>
        <w:rPr>
          <w:rFonts w:ascii="Times New Roman" w:hAnsi="Times New Roman" w:cs="Times New Roman"/>
          <w:color w:val="000000"/>
          <w:sz w:val="20"/>
        </w:rPr>
        <w:t>DISCUSSION</w:t>
      </w:r>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400"/>
        <w:ind w:left="200"/>
        <w:rPr>
          <w:rFonts w:ascii="Times New Roman" w:hAnsi="Times New Roman" w:cs="Times New Roman"/>
          <w:i/>
          <w:color w:val="000000"/>
          <w:sz w:val="20"/>
        </w:rPr>
      </w:pPr>
      <w:r>
        <w:rPr>
          <w:rFonts w:ascii="Times New Roman" w:hAnsi="Times New Roman" w:cs="Times New Roman"/>
          <w:i/>
          <w:color w:val="000000"/>
          <w:sz w:val="20"/>
        </w:rPr>
        <w:t>A</w:t>
      </w:r>
      <w:r>
        <w:rPr>
          <w:rFonts w:ascii="Times New Roman" w:hAnsi="Times New Roman" w:cs="Times New Roman"/>
          <w:i/>
          <w:color w:val="000000"/>
          <w:sz w:val="20"/>
        </w:rPr>
        <w:t>. Monsanto Has Not Established Reversible Error in the Liability Phase of Trial.</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Monsanto argues that Johnson failed to prove liability, that insufficient evidence supports the jury</w:t>
      </w:r>
      <w:r>
        <w:rPr>
          <w:rFonts w:ascii="Times New Roman" w:hAnsi="Times New Roman" w:cs="Times New Roman"/>
          <w:color w:val="000000"/>
          <w:sz w:val="20"/>
        </w:rPr>
        <w:t>’</w:t>
      </w:r>
      <w:r>
        <w:rPr>
          <w:rFonts w:ascii="Times New Roman" w:hAnsi="Times New Roman" w:cs="Times New Roman"/>
          <w:color w:val="000000"/>
          <w:sz w:val="20"/>
        </w:rPr>
        <w:t>s findings on causation, and that Johnson</w:t>
      </w:r>
      <w:r>
        <w:rPr>
          <w:rFonts w:ascii="Times New Roman" w:hAnsi="Times New Roman" w:cs="Times New Roman"/>
          <w:color w:val="000000"/>
          <w:sz w:val="20"/>
        </w:rPr>
        <w:t>’</w:t>
      </w:r>
      <w:r>
        <w:rPr>
          <w:rFonts w:ascii="Times New Roman" w:hAnsi="Times New Roman" w:cs="Times New Roman"/>
          <w:color w:val="000000"/>
          <w:sz w:val="20"/>
        </w:rPr>
        <w:t xml:space="preserve">s causes of action were, in any </w:t>
      </w:r>
      <w:r>
        <w:rPr>
          <w:rFonts w:ascii="Times New Roman" w:hAnsi="Times New Roman" w:cs="Times New Roman"/>
          <w:color w:val="000000"/>
          <w:sz w:val="20"/>
        </w:rPr>
        <w:t>event, preempted by federal law. None of these arguments are persuasive.</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20" w:name="co_anchor_I2f3906e1cad611eaad728cad1da01"/>
      <w:bookmarkEnd w:id="20"/>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600" w:after="200"/>
        <w:jc w:val="center"/>
        <w:rPr>
          <w:rFonts w:ascii="Times New Roman" w:hAnsi="Times New Roman" w:cs="Times New Roman"/>
          <w:color w:val="000000"/>
          <w:sz w:val="20"/>
        </w:rPr>
      </w:pPr>
      <w:r>
        <w:rPr>
          <w:rFonts w:ascii="Times New Roman" w:hAnsi="Times New Roman" w:cs="Times New Roman"/>
          <w:color w:val="000000"/>
          <w:sz w:val="20"/>
        </w:rPr>
        <w:t>1. Monsanto Was Liable on the Failure-to-Warn Claims Because Substantial Evidence Was Presented tha</w:t>
      </w:r>
      <w:r>
        <w:rPr>
          <w:rFonts w:ascii="Times New Roman" w:hAnsi="Times New Roman" w:cs="Times New Roman"/>
          <w:color w:val="000000"/>
          <w:sz w:val="20"/>
        </w:rPr>
        <w:t>t Roundup</w:t>
      </w:r>
      <w:r>
        <w:rPr>
          <w:rFonts w:ascii="Times New Roman" w:hAnsi="Times New Roman" w:cs="Times New Roman"/>
          <w:color w:val="000000"/>
          <w:sz w:val="20"/>
        </w:rPr>
        <w:t>’</w:t>
      </w:r>
      <w:r>
        <w:rPr>
          <w:rFonts w:ascii="Times New Roman" w:hAnsi="Times New Roman" w:cs="Times New Roman"/>
          <w:color w:val="000000"/>
          <w:sz w:val="20"/>
        </w:rPr>
        <w:t xml:space="preserve">s Risks Were </w:t>
      </w:r>
      <w:r>
        <w:rPr>
          <w:rFonts w:ascii="Times New Roman" w:hAnsi="Times New Roman" w:cs="Times New Roman"/>
          <w:color w:val="000000"/>
          <w:sz w:val="20"/>
        </w:rPr>
        <w:t>“</w:t>
      </w:r>
      <w:r>
        <w:rPr>
          <w:rFonts w:ascii="Times New Roman" w:hAnsi="Times New Roman" w:cs="Times New Roman"/>
          <w:color w:val="000000"/>
          <w:sz w:val="20"/>
        </w:rPr>
        <w:t>Known or Knowable</w:t>
      </w:r>
      <w:r>
        <w:rPr>
          <w:rFonts w:ascii="Times New Roman" w:hAnsi="Times New Roman" w:cs="Times New Roman"/>
          <w:color w:val="000000"/>
          <w:sz w:val="20"/>
        </w:rPr>
        <w:t>”</w:t>
      </w:r>
      <w:r>
        <w:rPr>
          <w:rFonts w:ascii="Times New Roman" w:hAnsi="Times New Roman" w:cs="Times New Roman"/>
          <w:color w:val="000000"/>
          <w:sz w:val="20"/>
        </w:rPr>
        <w:t xml:space="preserve"> to Monsanto.</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w:t>
      </w:r>
      <w:r>
        <w:rPr>
          <w:rFonts w:ascii="Times New Roman" w:hAnsi="Times New Roman" w:cs="Times New Roman"/>
          <w:color w:val="000000"/>
          <w:sz w:val="20"/>
        </w:rPr>
        <w:t>California recognizes failure to warn as a species of design defect products liability. [Citation.] Under the failure to warn theory, a product may be defective even though it is manufactured or desi</w:t>
      </w:r>
      <w:r>
        <w:rPr>
          <w:rFonts w:ascii="Times New Roman" w:hAnsi="Times New Roman" w:cs="Times New Roman"/>
          <w:color w:val="000000"/>
          <w:sz w:val="20"/>
        </w:rPr>
        <w:t xml:space="preserve">gned flawlessly. [Citation.] </w:t>
      </w:r>
      <w:r>
        <w:rPr>
          <w:rFonts w:ascii="Times New Roman" w:hAnsi="Times New Roman" w:cs="Times New Roman"/>
          <w:color w:val="000000"/>
          <w:sz w:val="20"/>
        </w:rPr>
        <w:t>‘</w:t>
      </w:r>
      <w:r>
        <w:rPr>
          <w:rFonts w:ascii="Times New Roman" w:hAnsi="Times New Roman" w:cs="Times New Roman"/>
          <w:color w:val="000000"/>
          <w:sz w:val="20"/>
        </w:rPr>
        <w:t xml:space="preserve">[A] product, although faultlessly made, may nevertheless be deemed </w:t>
      </w:r>
      <w:r>
        <w:rPr>
          <w:rFonts w:ascii="Times New Roman" w:hAnsi="Times New Roman" w:cs="Times New Roman"/>
          <w:color w:val="000000"/>
          <w:sz w:val="20"/>
        </w:rPr>
        <w:t>“</w:t>
      </w:r>
      <w:r>
        <w:rPr>
          <w:rFonts w:ascii="Times New Roman" w:hAnsi="Times New Roman" w:cs="Times New Roman"/>
          <w:color w:val="000000"/>
          <w:sz w:val="20"/>
        </w:rPr>
        <w:t>defective</w:t>
      </w:r>
      <w:r>
        <w:rPr>
          <w:rFonts w:ascii="Times New Roman" w:hAnsi="Times New Roman" w:cs="Times New Roman"/>
          <w:color w:val="000000"/>
          <w:sz w:val="20"/>
        </w:rPr>
        <w:t>”</w:t>
      </w:r>
      <w:r>
        <w:rPr>
          <w:rFonts w:ascii="Times New Roman" w:hAnsi="Times New Roman" w:cs="Times New Roman"/>
          <w:color w:val="000000"/>
          <w:sz w:val="20"/>
        </w:rPr>
        <w:t xml:space="preserve"> under the rule and subject the supplier thereof to strict liability if it is unreasonably dangerous to place the product in the hands of a user wit</w:t>
      </w:r>
      <w:r>
        <w:rPr>
          <w:rFonts w:ascii="Times New Roman" w:hAnsi="Times New Roman" w:cs="Times New Roman"/>
          <w:color w:val="000000"/>
          <w:sz w:val="20"/>
        </w:rPr>
        <w:t>hout a suitable warning and the product is supplied and no warning is given.</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Saller v. Crown Cork &amp; Seal Co., Inc.</w:t>
      </w:r>
      <w:r>
        <w:rPr>
          <w:rFonts w:ascii="Times New Roman" w:hAnsi="Times New Roman" w:cs="Times New Roman"/>
          <w:color w:val="0000FF"/>
          <w:sz w:val="20"/>
        </w:rPr>
        <w:t xml:space="preserve"> (2010) 187 Cal.App.4th 1220, 1238</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Johnson</w:t>
      </w:r>
      <w:r>
        <w:rPr>
          <w:rFonts w:ascii="Times New Roman" w:hAnsi="Times New Roman" w:cs="Times New Roman"/>
          <w:color w:val="000000"/>
          <w:sz w:val="20"/>
        </w:rPr>
        <w:t>’</w:t>
      </w:r>
      <w:r>
        <w:rPr>
          <w:rFonts w:ascii="Times New Roman" w:hAnsi="Times New Roman" w:cs="Times New Roman"/>
          <w:color w:val="000000"/>
          <w:sz w:val="20"/>
        </w:rPr>
        <w:t xml:space="preserve">s trial attorney argued to the jury that Monsanto had studies dating from the 1990s onward </w:t>
      </w:r>
      <w:r>
        <w:rPr>
          <w:rFonts w:ascii="Times New Roman" w:hAnsi="Times New Roman" w:cs="Times New Roman"/>
          <w:color w:val="000000"/>
          <w:sz w:val="20"/>
        </w:rPr>
        <w:t xml:space="preserve">that linked glyphosate and </w:t>
      </w:r>
      <w:r>
        <w:rPr>
          <w:rFonts w:ascii="Times New Roman" w:hAnsi="Times New Roman" w:cs="Times New Roman"/>
          <w:color w:val="0000FF"/>
          <w:sz w:val="20"/>
        </w:rPr>
        <w:t>cancer</w:t>
      </w:r>
      <w:r>
        <w:rPr>
          <w:rFonts w:ascii="Times New Roman" w:hAnsi="Times New Roman" w:cs="Times New Roman"/>
          <w:color w:val="000000"/>
          <w:sz w:val="20"/>
        </w:rPr>
        <w:t xml:space="preserve"> but acted irresponsibly to </w:t>
      </w:r>
      <w:r>
        <w:rPr>
          <w:rFonts w:ascii="Times New Roman" w:hAnsi="Times New Roman" w:cs="Times New Roman"/>
          <w:color w:val="000000"/>
          <w:sz w:val="20"/>
        </w:rPr>
        <w:t>“</w:t>
      </w:r>
      <w:r>
        <w:rPr>
          <w:rFonts w:ascii="Times New Roman" w:hAnsi="Times New Roman" w:cs="Times New Roman"/>
          <w:color w:val="000000"/>
          <w:sz w:val="20"/>
        </w:rPr>
        <w:t>combat</w:t>
      </w:r>
      <w:r>
        <w:rPr>
          <w:rFonts w:ascii="Times New Roman" w:hAnsi="Times New Roman" w:cs="Times New Roman"/>
          <w:color w:val="000000"/>
          <w:sz w:val="20"/>
        </w:rPr>
        <w:t>”</w:t>
      </w:r>
      <w:r>
        <w:rPr>
          <w:rFonts w:ascii="Times New Roman" w:hAnsi="Times New Roman" w:cs="Times New Roman"/>
          <w:color w:val="000000"/>
          <w:sz w:val="20"/>
        </w:rPr>
        <w:t xml:space="preserve"> the information rather than to consider the health risks </w:t>
      </w:r>
      <w:r>
        <w:rPr>
          <w:rFonts w:ascii="Times New Roman" w:hAnsi="Times New Roman" w:cs="Times New Roman"/>
          <w:color w:val="000000"/>
          <w:sz w:val="20"/>
        </w:rPr>
        <w:t xml:space="preserve">and warn its users of them. Jurors found in favor of Johnson on this cause of action when they found, consistent with </w:t>
      </w:r>
      <w:r>
        <w:rPr>
          <w:rFonts w:ascii="Times New Roman" w:hAnsi="Times New Roman" w:cs="Times New Roman"/>
          <w:color w:val="0000FF"/>
          <w:sz w:val="20"/>
        </w:rPr>
        <w:t>CACI No. 12</w:t>
      </w:r>
      <w:r>
        <w:rPr>
          <w:rFonts w:ascii="Times New Roman" w:hAnsi="Times New Roman" w:cs="Times New Roman"/>
          <w:color w:val="0000FF"/>
          <w:sz w:val="20"/>
        </w:rPr>
        <w:t>05</w:t>
      </w:r>
      <w:r>
        <w:rPr>
          <w:rFonts w:ascii="Times New Roman" w:hAnsi="Times New Roman" w:cs="Times New Roman"/>
          <w:color w:val="000000"/>
          <w:sz w:val="20"/>
        </w:rPr>
        <w:t xml:space="preserve">, that (1) Monsanto manufactured, distributed, or sold Roundup products; (2) the products had potential risks that were </w:t>
      </w:r>
      <w:r>
        <w:rPr>
          <w:rFonts w:ascii="Times New Roman" w:hAnsi="Times New Roman" w:cs="Times New Roman"/>
          <w:color w:val="000000"/>
          <w:sz w:val="20"/>
        </w:rPr>
        <w:t>“</w:t>
      </w:r>
      <w:r>
        <w:rPr>
          <w:rFonts w:ascii="Times New Roman" w:hAnsi="Times New Roman" w:cs="Times New Roman"/>
          <w:color w:val="000000"/>
          <w:sz w:val="20"/>
        </w:rPr>
        <w:t>known or knowable in light of the scientific and medical knowledge that was generally accepted in the scientific community at the tim</w:t>
      </w:r>
      <w:r>
        <w:rPr>
          <w:rFonts w:ascii="Times New Roman" w:hAnsi="Times New Roman" w:cs="Times New Roman"/>
          <w:color w:val="000000"/>
          <w:sz w:val="20"/>
        </w:rPr>
        <w:t>e of the manufacture, distribution and sale</w:t>
      </w:r>
      <w:r>
        <w:rPr>
          <w:rFonts w:ascii="Times New Roman" w:hAnsi="Times New Roman" w:cs="Times New Roman"/>
          <w:color w:val="000000"/>
          <w:sz w:val="20"/>
        </w:rPr>
        <w:t>”</w:t>
      </w:r>
      <w:r>
        <w:rPr>
          <w:rFonts w:ascii="Times New Roman" w:hAnsi="Times New Roman" w:cs="Times New Roman"/>
          <w:color w:val="000000"/>
          <w:sz w:val="20"/>
        </w:rPr>
        <w:t xml:space="preserve"> of the products; (3) the potential risks presented a substantial danger when the products were used (or misused in an intended or reasonably foreseeable way); (4) ordinary consumers would not have recognized the</w:t>
      </w:r>
      <w:r>
        <w:rPr>
          <w:rFonts w:ascii="Times New Roman" w:hAnsi="Times New Roman" w:cs="Times New Roman"/>
          <w:color w:val="000000"/>
          <w:sz w:val="20"/>
        </w:rPr>
        <w:t xml:space="preserve"> potential risks; (5) Monsanto failed to adequately warn of the potential risks; (6) Johnson was harmed; and (7) the lack of sufficient warnings was a substantial factor in causing Johnson</w:t>
      </w:r>
      <w:r>
        <w:rPr>
          <w:rFonts w:ascii="Times New Roman" w:hAnsi="Times New Roman" w:cs="Times New Roman"/>
          <w:color w:val="000000"/>
          <w:sz w:val="20"/>
        </w:rPr>
        <w:t>’</w:t>
      </w:r>
      <w:r>
        <w:rPr>
          <w:rFonts w:ascii="Times New Roman" w:hAnsi="Times New Roman" w:cs="Times New Roman"/>
          <w:color w:val="000000"/>
          <w:sz w:val="20"/>
        </w:rPr>
        <w:t>s harm. Monsanto challenges the jury</w:t>
      </w:r>
      <w:r>
        <w:rPr>
          <w:rFonts w:ascii="Times New Roman" w:hAnsi="Times New Roman" w:cs="Times New Roman"/>
          <w:color w:val="000000"/>
          <w:sz w:val="20"/>
        </w:rPr>
        <w:t>’</w:t>
      </w:r>
      <w:r>
        <w:rPr>
          <w:rFonts w:ascii="Times New Roman" w:hAnsi="Times New Roman" w:cs="Times New Roman"/>
          <w:color w:val="000000"/>
          <w:sz w:val="20"/>
        </w:rPr>
        <w:t>s findings on the second eleme</w:t>
      </w:r>
      <w:r>
        <w:rPr>
          <w:rFonts w:ascii="Times New Roman" w:hAnsi="Times New Roman" w:cs="Times New Roman"/>
          <w:color w:val="000000"/>
          <w:sz w:val="20"/>
        </w:rPr>
        <w:t>nt (that the potential risks were known) and the seventh element (that the lack of warning caused Johnson</w:t>
      </w:r>
      <w:r>
        <w:rPr>
          <w:rFonts w:ascii="Times New Roman" w:hAnsi="Times New Roman" w:cs="Times New Roman"/>
          <w:color w:val="000000"/>
          <w:sz w:val="20"/>
        </w:rPr>
        <w:t>’</w:t>
      </w:r>
      <w:r>
        <w:rPr>
          <w:rFonts w:ascii="Times New Roman" w:hAnsi="Times New Roman" w:cs="Times New Roman"/>
          <w:color w:val="000000"/>
          <w:sz w:val="20"/>
        </w:rPr>
        <w:t>s harm, discussed below, § II.A.3.).</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We begin with Monsanto</w:t>
      </w:r>
      <w:r>
        <w:rPr>
          <w:rFonts w:ascii="Times New Roman" w:hAnsi="Times New Roman" w:cs="Times New Roman"/>
          <w:color w:val="000000"/>
          <w:sz w:val="20"/>
        </w:rPr>
        <w:t>’</w:t>
      </w:r>
      <w:r>
        <w:rPr>
          <w:rFonts w:ascii="Times New Roman" w:hAnsi="Times New Roman" w:cs="Times New Roman"/>
          <w:color w:val="000000"/>
          <w:sz w:val="20"/>
        </w:rPr>
        <w:t xml:space="preserve">s argument that </w:t>
      </w:r>
      <w:r>
        <w:rPr>
          <w:rFonts w:ascii="Times New Roman" w:hAnsi="Times New Roman" w:cs="Times New Roman"/>
          <w:color w:val="000000"/>
          <w:sz w:val="20"/>
        </w:rPr>
        <w:t>“</w:t>
      </w:r>
      <w:r>
        <w:rPr>
          <w:rFonts w:ascii="Times New Roman" w:hAnsi="Times New Roman" w:cs="Times New Roman"/>
          <w:color w:val="000000"/>
          <w:sz w:val="20"/>
        </w:rPr>
        <w:t xml:space="preserve">it was not known or knowable to Monsanto at the time of manufacture or </w:t>
      </w:r>
      <w:r>
        <w:rPr>
          <w:rFonts w:ascii="Times New Roman" w:hAnsi="Times New Roman" w:cs="Times New Roman"/>
          <w:color w:val="000000"/>
          <w:sz w:val="20"/>
        </w:rPr>
        <w:t xml:space="preserve">distribution that glyphosate causes </w:t>
      </w:r>
      <w:r>
        <w:rPr>
          <w:rFonts w:ascii="Times New Roman" w:hAnsi="Times New Roman" w:cs="Times New Roman"/>
          <w:color w:val="0000FF"/>
          <w:sz w:val="20"/>
        </w:rPr>
        <w:t>cancer</w:t>
      </w:r>
      <w:r>
        <w:rPr>
          <w:rFonts w:ascii="Times New Roman" w:hAnsi="Times New Roman" w:cs="Times New Roman"/>
          <w:color w:val="000000"/>
          <w:sz w:val="20"/>
        </w:rPr>
        <w:t>.</w:t>
      </w:r>
      <w:r>
        <w:rPr>
          <w:rFonts w:ascii="Times New Roman" w:hAnsi="Times New Roman" w:cs="Times New Roman"/>
          <w:color w:val="000000"/>
          <w:sz w:val="20"/>
        </w:rPr>
        <w:t>”</w:t>
      </w:r>
      <w:r>
        <w:rPr>
          <w:rFonts w:ascii="Times New Roman" w:hAnsi="Times New Roman" w:cs="Times New Roman"/>
          <w:color w:val="000000"/>
          <w:sz w:val="20"/>
        </w:rPr>
        <w:t xml:space="preserve"> (E.g., </w:t>
      </w:r>
      <w:r>
        <w:rPr>
          <w:rFonts w:ascii="Times New Roman" w:hAnsi="Times New Roman" w:cs="Times New Roman"/>
          <w:i/>
          <w:color w:val="0000FF"/>
          <w:sz w:val="20"/>
        </w:rPr>
        <w:t>Anderson v. Owens-Corning Fiberglas Corp.</w:t>
      </w:r>
      <w:r>
        <w:rPr>
          <w:rFonts w:ascii="Times New Roman" w:hAnsi="Times New Roman" w:cs="Times New Roman"/>
          <w:color w:val="0000FF"/>
          <w:sz w:val="20"/>
        </w:rPr>
        <w:t xml:space="preserve"> (1991) 53 Cal.3d 987, 1003</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knowability</w:t>
      </w:r>
      <w:r>
        <w:rPr>
          <w:rFonts w:ascii="Times New Roman" w:hAnsi="Times New Roman" w:cs="Times New Roman"/>
          <w:color w:val="000000"/>
          <w:sz w:val="20"/>
        </w:rPr>
        <w:t>”</w:t>
      </w:r>
      <w:r>
        <w:rPr>
          <w:rFonts w:ascii="Times New Roman" w:hAnsi="Times New Roman" w:cs="Times New Roman"/>
          <w:color w:val="000000"/>
          <w:sz w:val="20"/>
        </w:rPr>
        <w:t xml:space="preserve"> relevant to failure-to-warn theory of strict liability].) Multiple courts have articulated the </w:t>
      </w:r>
      <w:r>
        <w:rPr>
          <w:rFonts w:ascii="Times New Roman" w:hAnsi="Times New Roman" w:cs="Times New Roman"/>
          <w:color w:val="000000"/>
          <w:sz w:val="20"/>
        </w:rPr>
        <w:t>“</w:t>
      </w:r>
      <w:r>
        <w:rPr>
          <w:rFonts w:ascii="Times New Roman" w:hAnsi="Times New Roman" w:cs="Times New Roman"/>
          <w:color w:val="000000"/>
          <w:sz w:val="20"/>
        </w:rPr>
        <w:t>known or knowable</w:t>
      </w:r>
      <w:r>
        <w:rPr>
          <w:rFonts w:ascii="Times New Roman" w:hAnsi="Times New Roman" w:cs="Times New Roman"/>
          <w:color w:val="000000"/>
          <w:sz w:val="20"/>
        </w:rPr>
        <w:t>”</w:t>
      </w:r>
      <w:r>
        <w:rPr>
          <w:rFonts w:ascii="Times New Roman" w:hAnsi="Times New Roman" w:cs="Times New Roman"/>
          <w:color w:val="000000"/>
          <w:sz w:val="20"/>
        </w:rPr>
        <w:t xml:space="preserve"> standard. </w:t>
      </w:r>
      <w:r>
        <w:rPr>
          <w:rFonts w:ascii="Times New Roman" w:hAnsi="Times New Roman" w:cs="Times New Roman"/>
          <w:color w:val="000000"/>
          <w:sz w:val="20"/>
        </w:rPr>
        <w:t>“</w:t>
      </w:r>
      <w:r>
        <w:rPr>
          <w:rFonts w:ascii="Times New Roman" w:hAnsi="Times New Roman" w:cs="Times New Roman"/>
          <w:color w:val="000000"/>
          <w:sz w:val="20"/>
        </w:rPr>
        <w:t>The rules of strict liability require a plaintiff to prove only that the defendant did not adequately warn of a particular risk that was known or knowable in light of the generally recognized and prevailing best scientific and medical knowledge</w:t>
      </w:r>
      <w:r>
        <w:rPr>
          <w:rFonts w:ascii="Times New Roman" w:hAnsi="Times New Roman" w:cs="Times New Roman"/>
          <w:color w:val="000000"/>
          <w:sz w:val="20"/>
        </w:rPr>
        <w:t xml:space="preserve"> available at the time of manufacture and distribution.</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Id.</w:t>
      </w:r>
      <w:r>
        <w:rPr>
          <w:rFonts w:ascii="Times New Roman" w:hAnsi="Times New Roman" w:cs="Times New Roman"/>
          <w:color w:val="0000FF"/>
          <w:sz w:val="20"/>
        </w:rPr>
        <w:t xml:space="preserve"> at p. 1002</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The manufacturer</w:t>
      </w:r>
      <w:r>
        <w:rPr>
          <w:rFonts w:ascii="Times New Roman" w:hAnsi="Times New Roman" w:cs="Times New Roman"/>
          <w:color w:val="000000"/>
          <w:sz w:val="20"/>
        </w:rPr>
        <w:t>’</w:t>
      </w:r>
      <w:r>
        <w:rPr>
          <w:rFonts w:ascii="Times New Roman" w:hAnsi="Times New Roman" w:cs="Times New Roman"/>
          <w:color w:val="000000"/>
          <w:sz w:val="20"/>
        </w:rPr>
        <w:t xml:space="preserve">s duty, per strict liability instructions, to warn of </w:t>
      </w:r>
      <w:r>
        <w:rPr>
          <w:rFonts w:ascii="Times New Roman" w:hAnsi="Times New Roman" w:cs="Times New Roman"/>
          <w:i/>
          <w:color w:val="000000"/>
          <w:sz w:val="20"/>
        </w:rPr>
        <w:t>potential</w:t>
      </w:r>
      <w:r>
        <w:rPr>
          <w:rFonts w:ascii="Times New Roman" w:hAnsi="Times New Roman" w:cs="Times New Roman"/>
          <w:color w:val="000000"/>
          <w:sz w:val="20"/>
        </w:rPr>
        <w:t xml:space="preserve"> risks and side effects [envelops] a </w:t>
      </w:r>
      <w:r>
        <w:rPr>
          <w:rFonts w:ascii="Times New Roman" w:hAnsi="Times New Roman" w:cs="Times New Roman"/>
          <w:i/>
          <w:color w:val="000000"/>
          <w:sz w:val="20"/>
        </w:rPr>
        <w:t>broader</w:t>
      </w:r>
      <w:r>
        <w:rPr>
          <w:rFonts w:ascii="Times New Roman" w:hAnsi="Times New Roman" w:cs="Times New Roman"/>
          <w:color w:val="000000"/>
          <w:sz w:val="20"/>
        </w:rPr>
        <w:t xml:space="preserve"> set of risk factors than the duty, per negligence instr</w:t>
      </w:r>
      <w:r>
        <w:rPr>
          <w:rFonts w:ascii="Times New Roman" w:hAnsi="Times New Roman" w:cs="Times New Roman"/>
          <w:color w:val="000000"/>
          <w:sz w:val="20"/>
        </w:rPr>
        <w:t xml:space="preserve">uctions, to warn of facts which made the product </w:t>
      </w:r>
      <w:r>
        <w:rPr>
          <w:rFonts w:ascii="Times New Roman" w:hAnsi="Times New Roman" w:cs="Times New Roman"/>
          <w:color w:val="000000"/>
          <w:sz w:val="20"/>
        </w:rPr>
        <w:t>‘</w:t>
      </w:r>
      <w:r>
        <w:rPr>
          <w:rFonts w:ascii="Times New Roman" w:hAnsi="Times New Roman" w:cs="Times New Roman"/>
          <w:i/>
          <w:color w:val="000000"/>
          <w:sz w:val="20"/>
        </w:rPr>
        <w:t>likely to be</w:t>
      </w:r>
      <w:r>
        <w:rPr>
          <w:rFonts w:ascii="Times New Roman" w:hAnsi="Times New Roman" w:cs="Times New Roman"/>
          <w:color w:val="000000"/>
          <w:sz w:val="20"/>
        </w:rPr>
        <w:t xml:space="preserve"> dangerous</w:t>
      </w:r>
      <w:r>
        <w:rPr>
          <w:rFonts w:ascii="Times New Roman" w:hAnsi="Times New Roman" w:cs="Times New Roman"/>
          <w:color w:val="000000"/>
          <w:sz w:val="20"/>
        </w:rPr>
        <w:t>’</w:t>
      </w:r>
      <w:r>
        <w:rPr>
          <w:rFonts w:ascii="Times New Roman" w:hAnsi="Times New Roman" w:cs="Times New Roman"/>
          <w:color w:val="000000"/>
          <w:sz w:val="20"/>
        </w:rPr>
        <w:t xml:space="preserve"> for its intended use. A </w:t>
      </w:r>
      <w:r>
        <w:rPr>
          <w:rFonts w:ascii="Times New Roman" w:hAnsi="Times New Roman" w:cs="Times New Roman"/>
          <w:color w:val="000000"/>
          <w:sz w:val="20"/>
        </w:rPr>
        <w:t>‘</w:t>
      </w:r>
      <w:r>
        <w:rPr>
          <w:rFonts w:ascii="Times New Roman" w:hAnsi="Times New Roman" w:cs="Times New Roman"/>
          <w:color w:val="000000"/>
          <w:sz w:val="20"/>
        </w:rPr>
        <w:t>potential</w:t>
      </w:r>
      <w:r>
        <w:rPr>
          <w:rFonts w:ascii="Times New Roman" w:hAnsi="Times New Roman" w:cs="Times New Roman"/>
          <w:color w:val="000000"/>
          <w:sz w:val="20"/>
        </w:rPr>
        <w:t>’</w:t>
      </w:r>
      <w:r>
        <w:rPr>
          <w:rFonts w:ascii="Times New Roman" w:hAnsi="Times New Roman" w:cs="Times New Roman"/>
          <w:color w:val="000000"/>
          <w:sz w:val="20"/>
        </w:rPr>
        <w:t xml:space="preserve"> risk is one </w:t>
      </w:r>
      <w:r>
        <w:rPr>
          <w:rFonts w:ascii="Times New Roman" w:hAnsi="Times New Roman" w:cs="Times New Roman"/>
          <w:color w:val="000000"/>
          <w:sz w:val="20"/>
        </w:rPr>
        <w:t>‘</w:t>
      </w:r>
      <w:r>
        <w:rPr>
          <w:rFonts w:ascii="Times New Roman" w:hAnsi="Times New Roman" w:cs="Times New Roman"/>
          <w:color w:val="000000"/>
          <w:sz w:val="20"/>
        </w:rPr>
        <w:t>existing in possibility</w:t>
      </w:r>
      <w:r>
        <w:rPr>
          <w:rFonts w:ascii="Times New Roman" w:hAnsi="Times New Roman" w:cs="Times New Roman"/>
          <w:color w:val="000000"/>
          <w:sz w:val="20"/>
        </w:rPr>
        <w:t>’</w:t>
      </w:r>
      <w:r>
        <w:rPr>
          <w:rFonts w:ascii="Times New Roman" w:hAnsi="Times New Roman" w:cs="Times New Roman"/>
          <w:color w:val="000000"/>
          <w:sz w:val="20"/>
        </w:rPr>
        <w:t xml:space="preserve"> or </w:t>
      </w:r>
      <w:r>
        <w:rPr>
          <w:rFonts w:ascii="Times New Roman" w:hAnsi="Times New Roman" w:cs="Times New Roman"/>
          <w:color w:val="000000"/>
          <w:sz w:val="20"/>
        </w:rPr>
        <w:t>‘</w:t>
      </w:r>
      <w:r>
        <w:rPr>
          <w:rFonts w:ascii="Times New Roman" w:hAnsi="Times New Roman" w:cs="Times New Roman"/>
          <w:color w:val="000000"/>
          <w:sz w:val="20"/>
        </w:rPr>
        <w:t>capable of development into actuality,</w:t>
      </w:r>
      <w:r>
        <w:rPr>
          <w:rFonts w:ascii="Times New Roman" w:hAnsi="Times New Roman" w:cs="Times New Roman"/>
          <w:color w:val="000000"/>
          <w:sz w:val="20"/>
        </w:rPr>
        <w:t>’</w:t>
      </w:r>
      <w:r>
        <w:rPr>
          <w:rFonts w:ascii="Times New Roman" w:hAnsi="Times New Roman" w:cs="Times New Roman"/>
          <w:color w:val="000000"/>
          <w:sz w:val="20"/>
        </w:rPr>
        <w:t xml:space="preserve"> while a product </w:t>
      </w:r>
      <w:r>
        <w:rPr>
          <w:rFonts w:ascii="Times New Roman" w:hAnsi="Times New Roman" w:cs="Times New Roman"/>
          <w:color w:val="000000"/>
          <w:sz w:val="20"/>
        </w:rPr>
        <w:t>‘</w:t>
      </w:r>
      <w:r>
        <w:rPr>
          <w:rFonts w:ascii="Times New Roman" w:hAnsi="Times New Roman" w:cs="Times New Roman"/>
          <w:color w:val="000000"/>
          <w:sz w:val="20"/>
        </w:rPr>
        <w:t>likely</w:t>
      </w:r>
      <w:r>
        <w:rPr>
          <w:rFonts w:ascii="Times New Roman" w:hAnsi="Times New Roman" w:cs="Times New Roman"/>
          <w:color w:val="000000"/>
          <w:sz w:val="20"/>
        </w:rPr>
        <w:t>’</w:t>
      </w:r>
      <w:r>
        <w:rPr>
          <w:rFonts w:ascii="Times New Roman" w:hAnsi="Times New Roman" w:cs="Times New Roman"/>
          <w:color w:val="000000"/>
          <w:sz w:val="20"/>
        </w:rPr>
        <w:t xml:space="preserve"> to be dangerous will </w:t>
      </w:r>
      <w:r>
        <w:rPr>
          <w:rFonts w:ascii="Times New Roman" w:hAnsi="Times New Roman" w:cs="Times New Roman"/>
          <w:color w:val="000000"/>
          <w:sz w:val="20"/>
        </w:rPr>
        <w:t>‘</w:t>
      </w:r>
      <w:r>
        <w:rPr>
          <w:rFonts w:ascii="Times New Roman" w:hAnsi="Times New Roman" w:cs="Times New Roman"/>
          <w:color w:val="000000"/>
          <w:sz w:val="20"/>
        </w:rPr>
        <w:t>in all probabilit</w:t>
      </w:r>
      <w:r>
        <w:rPr>
          <w:rFonts w:ascii="Times New Roman" w:hAnsi="Times New Roman" w:cs="Times New Roman"/>
          <w:color w:val="000000"/>
          <w:sz w:val="20"/>
        </w:rPr>
        <w:t>y</w:t>
      </w:r>
      <w:r>
        <w:rPr>
          <w:rFonts w:ascii="Times New Roman" w:hAnsi="Times New Roman" w:cs="Times New Roman"/>
          <w:color w:val="000000"/>
          <w:sz w:val="20"/>
        </w:rPr>
        <w:t>’</w:t>
      </w:r>
      <w:r>
        <w:rPr>
          <w:rFonts w:ascii="Times New Roman" w:hAnsi="Times New Roman" w:cs="Times New Roman"/>
          <w:color w:val="000000"/>
          <w:sz w:val="20"/>
        </w:rPr>
        <w:t xml:space="preserve"> or </w:t>
      </w:r>
      <w:r>
        <w:rPr>
          <w:rFonts w:ascii="Times New Roman" w:hAnsi="Times New Roman" w:cs="Times New Roman"/>
          <w:color w:val="000000"/>
          <w:sz w:val="20"/>
        </w:rPr>
        <w:t>‘</w:t>
      </w:r>
      <w:r>
        <w:rPr>
          <w:rFonts w:ascii="Times New Roman" w:hAnsi="Times New Roman" w:cs="Times New Roman"/>
          <w:color w:val="000000"/>
          <w:sz w:val="20"/>
        </w:rPr>
        <w:t>probably</w:t>
      </w:r>
      <w:r>
        <w:rPr>
          <w:rFonts w:ascii="Times New Roman" w:hAnsi="Times New Roman" w:cs="Times New Roman"/>
          <w:color w:val="000000"/>
          <w:sz w:val="20"/>
        </w:rPr>
        <w:t>’</w:t>
      </w:r>
      <w:r>
        <w:rPr>
          <w:rFonts w:ascii="Times New Roman" w:hAnsi="Times New Roman" w:cs="Times New Roman"/>
          <w:color w:val="000000"/>
          <w:sz w:val="20"/>
        </w:rPr>
        <w:t xml:space="preserve"> be dangerous.</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Valentine v. Baxter Healthcare Corp.</w:t>
      </w:r>
      <w:r>
        <w:rPr>
          <w:rFonts w:ascii="Times New Roman" w:hAnsi="Times New Roman" w:cs="Times New Roman"/>
          <w:color w:val="0000FF"/>
          <w:sz w:val="20"/>
        </w:rPr>
        <w:t xml:space="preserve"> (1999) 68 Cal.App.4th 1467, 1483</w:t>
      </w:r>
      <w:r>
        <w:rPr>
          <w:rFonts w:ascii="Times New Roman" w:hAnsi="Times New Roman" w:cs="Times New Roman"/>
          <w:color w:val="000000"/>
          <w:sz w:val="20"/>
        </w:rPr>
        <w:t xml:space="preserve">, fns. omitted.) Our Supreme Court has stated that warnings need not be given </w:t>
      </w:r>
      <w:r>
        <w:rPr>
          <w:rFonts w:ascii="Times New Roman" w:hAnsi="Times New Roman" w:cs="Times New Roman"/>
          <w:color w:val="000000"/>
          <w:sz w:val="20"/>
        </w:rPr>
        <w:t>“</w:t>
      </w:r>
      <w:r>
        <w:rPr>
          <w:rFonts w:ascii="Times New Roman" w:hAnsi="Times New Roman" w:cs="Times New Roman"/>
          <w:color w:val="000000"/>
          <w:sz w:val="20"/>
        </w:rPr>
        <w:t>based on every piece of information in a manufacturer</w:t>
      </w:r>
      <w:r>
        <w:rPr>
          <w:rFonts w:ascii="Times New Roman" w:hAnsi="Times New Roman" w:cs="Times New Roman"/>
          <w:color w:val="000000"/>
          <w:sz w:val="20"/>
        </w:rPr>
        <w:t>’</w:t>
      </w:r>
      <w:r>
        <w:rPr>
          <w:rFonts w:ascii="Times New Roman" w:hAnsi="Times New Roman" w:cs="Times New Roman"/>
          <w:color w:val="000000"/>
          <w:sz w:val="20"/>
        </w:rPr>
        <w:t>s possession</w:t>
      </w:r>
      <w:r>
        <w:rPr>
          <w:rFonts w:ascii="Times New Roman" w:hAnsi="Times New Roman" w:cs="Times New Roman"/>
          <w:color w:val="000000"/>
          <w:sz w:val="20"/>
        </w:rPr>
        <w:t>”</w:t>
      </w:r>
      <w:r>
        <w:rPr>
          <w:rFonts w:ascii="Times New Roman" w:hAnsi="Times New Roman" w:cs="Times New Roman"/>
          <w:color w:val="000000"/>
          <w:sz w:val="20"/>
        </w:rPr>
        <w:t xml:space="preserve"> and may</w:t>
      </w:r>
      <w:r>
        <w:rPr>
          <w:rFonts w:ascii="Times New Roman" w:hAnsi="Times New Roman" w:cs="Times New Roman"/>
          <w:color w:val="000000"/>
          <w:sz w:val="20"/>
        </w:rPr>
        <w:t xml:space="preserve"> not be required </w:t>
      </w:r>
      <w:r>
        <w:rPr>
          <w:rFonts w:ascii="Times New Roman" w:hAnsi="Times New Roman" w:cs="Times New Roman"/>
          <w:color w:val="000000"/>
          <w:sz w:val="20"/>
        </w:rPr>
        <w:t>“</w:t>
      </w:r>
      <w:r>
        <w:rPr>
          <w:rFonts w:ascii="Times New Roman" w:hAnsi="Times New Roman" w:cs="Times New Roman"/>
          <w:color w:val="000000"/>
          <w:sz w:val="20"/>
        </w:rPr>
        <w:t>based on a single isolated report of a possible link</w:t>
      </w:r>
      <w:r>
        <w:rPr>
          <w:rFonts w:ascii="Times New Roman" w:hAnsi="Times New Roman" w:cs="Times New Roman"/>
          <w:color w:val="000000"/>
          <w:sz w:val="20"/>
        </w:rPr>
        <w:t>”</w:t>
      </w:r>
      <w:r>
        <w:rPr>
          <w:rFonts w:ascii="Times New Roman" w:hAnsi="Times New Roman" w:cs="Times New Roman"/>
          <w:color w:val="000000"/>
          <w:sz w:val="20"/>
        </w:rPr>
        <w:t xml:space="preserve"> between a product and injury or </w:t>
      </w:r>
      <w:r>
        <w:rPr>
          <w:rFonts w:ascii="Times New Roman" w:hAnsi="Times New Roman" w:cs="Times New Roman"/>
          <w:color w:val="000000"/>
          <w:sz w:val="20"/>
        </w:rPr>
        <w:t>“</w:t>
      </w:r>
      <w:r>
        <w:rPr>
          <w:rFonts w:ascii="Times New Roman" w:hAnsi="Times New Roman" w:cs="Times New Roman"/>
          <w:color w:val="000000"/>
          <w:sz w:val="20"/>
        </w:rPr>
        <w:t>a possible risk, no matter how speculative, conjectural, or tentative.</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Finn v. G. D. Searle &amp; Co.</w:t>
      </w:r>
      <w:r>
        <w:rPr>
          <w:rFonts w:ascii="Times New Roman" w:hAnsi="Times New Roman" w:cs="Times New Roman"/>
          <w:color w:val="0000FF"/>
          <w:sz w:val="20"/>
        </w:rPr>
        <w:t xml:space="preserve"> (1984) 35 Cal.3d 691, 701</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[W]hen a plaintiff</w:t>
      </w:r>
      <w:r>
        <w:rPr>
          <w:rFonts w:ascii="Times New Roman" w:hAnsi="Times New Roman" w:cs="Times New Roman"/>
          <w:color w:val="000000"/>
          <w:sz w:val="20"/>
        </w:rPr>
        <w:t>’</w:t>
      </w:r>
      <w:r>
        <w:rPr>
          <w:rFonts w:ascii="Times New Roman" w:hAnsi="Times New Roman" w:cs="Times New Roman"/>
          <w:color w:val="000000"/>
          <w:sz w:val="20"/>
        </w:rPr>
        <w:t>s c</w:t>
      </w:r>
      <w:r>
        <w:rPr>
          <w:rFonts w:ascii="Times New Roman" w:hAnsi="Times New Roman" w:cs="Times New Roman"/>
          <w:color w:val="000000"/>
          <w:sz w:val="20"/>
        </w:rPr>
        <w:t xml:space="preserve">laim is based on an allegation that a particular risk was </w:t>
      </w:r>
      <w:r>
        <w:rPr>
          <w:rFonts w:ascii="Times New Roman" w:hAnsi="Times New Roman" w:cs="Times New Roman"/>
          <w:color w:val="000000"/>
          <w:sz w:val="20"/>
        </w:rPr>
        <w:t>‘</w:t>
      </w:r>
      <w:r>
        <w:rPr>
          <w:rFonts w:ascii="Times New Roman" w:hAnsi="Times New Roman" w:cs="Times New Roman"/>
          <w:color w:val="000000"/>
          <w:sz w:val="20"/>
        </w:rPr>
        <w:t>reasonably scientifically knowable,</w:t>
      </w:r>
      <w:r>
        <w:rPr>
          <w:rFonts w:ascii="Times New Roman" w:hAnsi="Times New Roman" w:cs="Times New Roman"/>
          <w:color w:val="000000"/>
          <w:sz w:val="20"/>
        </w:rPr>
        <w:t>’</w:t>
      </w:r>
      <w:r>
        <w:rPr>
          <w:rFonts w:ascii="Times New Roman" w:hAnsi="Times New Roman" w:cs="Times New Roman"/>
          <w:color w:val="000000"/>
          <w:sz w:val="20"/>
        </w:rPr>
        <w:t xml:space="preserve"> an inquiry may arise as to what a reasonable scientist operating in good faith should have known under the circumstances of the evidence.</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Carlin v. Superior C</w:t>
      </w:r>
      <w:r>
        <w:rPr>
          <w:rFonts w:ascii="Times New Roman" w:hAnsi="Times New Roman" w:cs="Times New Roman"/>
          <w:i/>
          <w:color w:val="0000FF"/>
          <w:sz w:val="20"/>
        </w:rPr>
        <w:t>ourt</w:t>
      </w:r>
      <w:r>
        <w:rPr>
          <w:rFonts w:ascii="Times New Roman" w:hAnsi="Times New Roman" w:cs="Times New Roman"/>
          <w:color w:val="0000FF"/>
          <w:sz w:val="20"/>
        </w:rPr>
        <w:t xml:space="preserve"> (1996) 13 Cal.4th 1104, 1115</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lastRenderedPageBreak/>
        <w:t> </w:t>
      </w:r>
    </w:p>
    <w:p w:rsidR="00000000" w:rsidRDefault="00A96DC8">
      <w:pPr>
        <w:autoSpaceDE w:val="0"/>
        <w:autoSpaceDN w:val="0"/>
        <w:adjustRightInd w:val="0"/>
        <w:jc w:val="both"/>
        <w:rPr>
          <w:rFonts w:ascii="Times New Roman" w:hAnsi="Times New Roman" w:cs="Times New Roman"/>
          <w:color w:val="000000"/>
          <w:sz w:val="20"/>
        </w:rPr>
      </w:pPr>
      <w:bookmarkStart w:id="21" w:name="co_pp_sp_999_8_1"/>
      <w:bookmarkEnd w:id="21"/>
      <w:r>
        <w:rPr>
          <w:rFonts w:ascii="Times New Roman" w:hAnsi="Times New Roman" w:cs="Times New Roman"/>
          <w:b/>
          <w:color w:val="000000"/>
          <w:sz w:val="20"/>
        </w:rPr>
        <w:t>*8</w:t>
      </w:r>
      <w:r>
        <w:rPr>
          <w:rFonts w:ascii="Times New Roman" w:hAnsi="Times New Roman" w:cs="Times New Roman"/>
          <w:color w:val="000000"/>
          <w:sz w:val="20"/>
        </w:rPr>
        <w:t xml:space="preserve"> The Advisory Committee on Civil Jury Instructions has provided guidance on the meaning of the phrase </w:t>
      </w:r>
      <w:r>
        <w:rPr>
          <w:rFonts w:ascii="Times New Roman" w:hAnsi="Times New Roman" w:cs="Times New Roman"/>
          <w:color w:val="000000"/>
          <w:sz w:val="20"/>
        </w:rPr>
        <w:t>“</w:t>
      </w:r>
      <w:r>
        <w:rPr>
          <w:rFonts w:ascii="Times New Roman" w:hAnsi="Times New Roman" w:cs="Times New Roman"/>
          <w:color w:val="000000"/>
          <w:sz w:val="20"/>
        </w:rPr>
        <w:t>generally accepted in the scientific community</w:t>
      </w:r>
      <w:r>
        <w:rPr>
          <w:rFonts w:ascii="Times New Roman" w:hAnsi="Times New Roman" w:cs="Times New Roman"/>
          <w:color w:val="000000"/>
          <w:sz w:val="20"/>
        </w:rPr>
        <w:t>”</w:t>
      </w:r>
      <w:r>
        <w:rPr>
          <w:rFonts w:ascii="Times New Roman" w:hAnsi="Times New Roman" w:cs="Times New Roman"/>
          <w:color w:val="000000"/>
          <w:sz w:val="20"/>
        </w:rPr>
        <w:t xml:space="preserve"> for purposes of </w:t>
      </w:r>
      <w:r>
        <w:rPr>
          <w:rFonts w:ascii="Times New Roman" w:hAnsi="Times New Roman" w:cs="Times New Roman"/>
          <w:color w:val="0000FF"/>
          <w:sz w:val="20"/>
        </w:rPr>
        <w:t>CACI No. 1205</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A</w:t>
      </w:r>
      <w:r>
        <w:rPr>
          <w:rFonts w:ascii="Times New Roman" w:hAnsi="Times New Roman" w:cs="Times New Roman"/>
          <w:color w:val="000000"/>
          <w:sz w:val="20"/>
        </w:rPr>
        <w:t xml:space="preserve"> risk may be </w:t>
      </w:r>
      <w:r>
        <w:rPr>
          <w:rFonts w:ascii="Times New Roman" w:hAnsi="Times New Roman" w:cs="Times New Roman"/>
          <w:color w:val="000000"/>
          <w:sz w:val="20"/>
        </w:rPr>
        <w:t>‘</w:t>
      </w:r>
      <w:r>
        <w:rPr>
          <w:rFonts w:ascii="Times New Roman" w:hAnsi="Times New Roman" w:cs="Times New Roman"/>
          <w:color w:val="000000"/>
          <w:sz w:val="20"/>
        </w:rPr>
        <w:t>generally recognized</w:t>
      </w:r>
      <w:r>
        <w:rPr>
          <w:rFonts w:ascii="Times New Roman" w:hAnsi="Times New Roman" w:cs="Times New Roman"/>
          <w:color w:val="000000"/>
          <w:sz w:val="20"/>
        </w:rPr>
        <w:t>’</w:t>
      </w:r>
      <w:r>
        <w:rPr>
          <w:rFonts w:ascii="Times New Roman" w:hAnsi="Times New Roman" w:cs="Times New Roman"/>
          <w:color w:val="000000"/>
          <w:sz w:val="20"/>
        </w:rPr>
        <w:t xml:space="preserve"> as a view (knowledge) advanced by one body of scientific thought and experiment, but it may not be the </w:t>
      </w:r>
      <w:r>
        <w:rPr>
          <w:rFonts w:ascii="Times New Roman" w:hAnsi="Times New Roman" w:cs="Times New Roman"/>
          <w:color w:val="000000"/>
          <w:sz w:val="20"/>
        </w:rPr>
        <w:t>‘</w:t>
      </w:r>
      <w:r>
        <w:rPr>
          <w:rFonts w:ascii="Times New Roman" w:hAnsi="Times New Roman" w:cs="Times New Roman"/>
          <w:color w:val="000000"/>
          <w:sz w:val="20"/>
        </w:rPr>
        <w:t>prevailing</w:t>
      </w:r>
      <w:r>
        <w:rPr>
          <w:rFonts w:ascii="Times New Roman" w:hAnsi="Times New Roman" w:cs="Times New Roman"/>
          <w:color w:val="000000"/>
          <w:sz w:val="20"/>
        </w:rPr>
        <w:t>’</w:t>
      </w:r>
      <w:r>
        <w:rPr>
          <w:rFonts w:ascii="Times New Roman" w:hAnsi="Times New Roman" w:cs="Times New Roman"/>
          <w:color w:val="000000"/>
          <w:sz w:val="20"/>
        </w:rPr>
        <w:t xml:space="preserve"> or </w:t>
      </w:r>
      <w:r>
        <w:rPr>
          <w:rFonts w:ascii="Times New Roman" w:hAnsi="Times New Roman" w:cs="Times New Roman"/>
          <w:color w:val="000000"/>
          <w:sz w:val="20"/>
        </w:rPr>
        <w:t>‘</w:t>
      </w:r>
      <w:r>
        <w:rPr>
          <w:rFonts w:ascii="Times New Roman" w:hAnsi="Times New Roman" w:cs="Times New Roman"/>
          <w:color w:val="000000"/>
          <w:sz w:val="20"/>
        </w:rPr>
        <w:t>best</w:t>
      </w:r>
      <w:r>
        <w:rPr>
          <w:rFonts w:ascii="Times New Roman" w:hAnsi="Times New Roman" w:cs="Times New Roman"/>
          <w:color w:val="000000"/>
          <w:sz w:val="20"/>
        </w:rPr>
        <w:t>’</w:t>
      </w:r>
      <w:r>
        <w:rPr>
          <w:rFonts w:ascii="Times New Roman" w:hAnsi="Times New Roman" w:cs="Times New Roman"/>
          <w:color w:val="000000"/>
          <w:sz w:val="20"/>
        </w:rPr>
        <w:t xml:space="preserve"> scientific view; that is, it may be a minority view. The committee believes that when a risk i</w:t>
      </w:r>
      <w:r>
        <w:rPr>
          <w:rFonts w:ascii="Times New Roman" w:hAnsi="Times New Roman" w:cs="Times New Roman"/>
          <w:color w:val="000000"/>
          <w:sz w:val="20"/>
        </w:rPr>
        <w:t xml:space="preserve">s (1) generally recognized (2) as prevailing in the relevant scientific community, and (3) represents the best scholarship available, it is sufficient to say that the risk is knowable in light of the </w:t>
      </w:r>
      <w:r>
        <w:rPr>
          <w:rFonts w:ascii="Times New Roman" w:hAnsi="Times New Roman" w:cs="Times New Roman"/>
          <w:color w:val="000000"/>
          <w:sz w:val="20"/>
        </w:rPr>
        <w:t>‘</w:t>
      </w:r>
      <w:r>
        <w:rPr>
          <w:rFonts w:ascii="Times New Roman" w:hAnsi="Times New Roman" w:cs="Times New Roman"/>
          <w:color w:val="000000"/>
          <w:sz w:val="20"/>
        </w:rPr>
        <w:t>the generally accepted</w:t>
      </w:r>
      <w:r>
        <w:rPr>
          <w:rFonts w:ascii="Times New Roman" w:hAnsi="Times New Roman" w:cs="Times New Roman"/>
          <w:color w:val="000000"/>
          <w:sz w:val="20"/>
        </w:rPr>
        <w:t>’</w:t>
      </w:r>
      <w:r>
        <w:rPr>
          <w:rFonts w:ascii="Times New Roman" w:hAnsi="Times New Roman" w:cs="Times New Roman"/>
          <w:color w:val="000000"/>
          <w:sz w:val="20"/>
        </w:rPr>
        <w:t xml:space="preserve"> scientific knowledge.</w:t>
      </w:r>
      <w:r>
        <w:rPr>
          <w:rFonts w:ascii="Times New Roman" w:hAnsi="Times New Roman" w:cs="Times New Roman"/>
          <w:color w:val="000000"/>
          <w:sz w:val="20"/>
        </w:rPr>
        <w:t>”</w:t>
      </w:r>
      <w:r>
        <w:rPr>
          <w:rFonts w:ascii="Times New Roman" w:hAnsi="Times New Roman" w:cs="Times New Roman"/>
          <w:color w:val="000000"/>
          <w:sz w:val="20"/>
        </w:rPr>
        <w:t xml:space="preserve"> (Directi</w:t>
      </w:r>
      <w:r>
        <w:rPr>
          <w:rFonts w:ascii="Times New Roman" w:hAnsi="Times New Roman" w:cs="Times New Roman"/>
          <w:color w:val="000000"/>
          <w:sz w:val="20"/>
        </w:rPr>
        <w:t xml:space="preserve">ons for Use, </w:t>
      </w:r>
      <w:r>
        <w:rPr>
          <w:rFonts w:ascii="Times New Roman" w:hAnsi="Times New Roman" w:cs="Times New Roman"/>
          <w:color w:val="0000FF"/>
          <w:sz w:val="20"/>
        </w:rPr>
        <w:t>CACI No. 1205</w:t>
      </w:r>
      <w:r>
        <w:rPr>
          <w:rFonts w:ascii="Times New Roman" w:hAnsi="Times New Roman" w:cs="Times New Roman"/>
          <w:color w:val="000000"/>
          <w:sz w:val="20"/>
        </w:rPr>
        <w:t xml:space="preserve"> (2019 ed.) p. 717.) Monsanto argues that Johnson</w:t>
      </w:r>
      <w:r>
        <w:rPr>
          <w:rFonts w:ascii="Times New Roman" w:hAnsi="Times New Roman" w:cs="Times New Roman"/>
          <w:color w:val="000000"/>
          <w:sz w:val="20"/>
        </w:rPr>
        <w:t>’</w:t>
      </w:r>
      <w:r>
        <w:rPr>
          <w:rFonts w:ascii="Times New Roman" w:hAnsi="Times New Roman" w:cs="Times New Roman"/>
          <w:color w:val="000000"/>
          <w:sz w:val="20"/>
        </w:rPr>
        <w:t>s evidence fell short of meeting this formulation of the standard.</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Monsanto</w:t>
      </w:r>
      <w:r>
        <w:rPr>
          <w:rFonts w:ascii="Times New Roman" w:hAnsi="Times New Roman" w:cs="Times New Roman"/>
          <w:color w:val="000000"/>
          <w:sz w:val="20"/>
        </w:rPr>
        <w:t>’</w:t>
      </w:r>
      <w:r>
        <w:rPr>
          <w:rFonts w:ascii="Times New Roman" w:hAnsi="Times New Roman" w:cs="Times New Roman"/>
          <w:color w:val="000000"/>
          <w:sz w:val="20"/>
        </w:rPr>
        <w:t xml:space="preserve">s argument, as we understand it, is that even if some studies linked glyphosate and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they did not trigger a duty to warn because they expressed only a </w:t>
      </w:r>
      <w:r>
        <w:rPr>
          <w:rFonts w:ascii="Times New Roman" w:hAnsi="Times New Roman" w:cs="Times New Roman"/>
          <w:color w:val="000000"/>
          <w:sz w:val="20"/>
        </w:rPr>
        <w:t>“</w:t>
      </w:r>
      <w:r>
        <w:rPr>
          <w:rFonts w:ascii="Times New Roman" w:hAnsi="Times New Roman" w:cs="Times New Roman"/>
          <w:color w:val="000000"/>
          <w:sz w:val="20"/>
        </w:rPr>
        <w:t>minority view.</w:t>
      </w:r>
      <w:r>
        <w:rPr>
          <w:rFonts w:ascii="Times New Roman" w:hAnsi="Times New Roman" w:cs="Times New Roman"/>
          <w:color w:val="000000"/>
          <w:sz w:val="20"/>
        </w:rPr>
        <w:t>”</w:t>
      </w:r>
      <w:r>
        <w:rPr>
          <w:rFonts w:ascii="Times New Roman" w:hAnsi="Times New Roman" w:cs="Times New Roman"/>
          <w:color w:val="000000"/>
          <w:sz w:val="20"/>
        </w:rPr>
        <w:t xml:space="preserve"> The company argues that a </w:t>
      </w:r>
      <w:r>
        <w:rPr>
          <w:rFonts w:ascii="Times New Roman" w:hAnsi="Times New Roman" w:cs="Times New Roman"/>
          <w:color w:val="0000FF"/>
          <w:sz w:val="20"/>
        </w:rPr>
        <w:t>cancer</w:t>
      </w:r>
      <w:r>
        <w:rPr>
          <w:rFonts w:ascii="Times New Roman" w:hAnsi="Times New Roman" w:cs="Times New Roman"/>
          <w:color w:val="000000"/>
          <w:sz w:val="20"/>
        </w:rPr>
        <w:t xml:space="preserve"> risk was not known or knowable </w:t>
      </w:r>
      <w:r>
        <w:rPr>
          <w:rFonts w:ascii="Times New Roman" w:hAnsi="Times New Roman" w:cs="Times New Roman"/>
          <w:color w:val="000000"/>
          <w:sz w:val="20"/>
        </w:rPr>
        <w:t>“</w:t>
      </w:r>
      <w:r>
        <w:rPr>
          <w:rFonts w:ascii="Times New Roman" w:hAnsi="Times New Roman" w:cs="Times New Roman"/>
          <w:color w:val="000000"/>
          <w:sz w:val="20"/>
        </w:rPr>
        <w:t xml:space="preserve">based on a </w:t>
      </w:r>
      <w:r>
        <w:rPr>
          <w:rFonts w:ascii="Times New Roman" w:hAnsi="Times New Roman" w:cs="Times New Roman"/>
          <w:i/>
          <w:color w:val="000000"/>
          <w:sz w:val="20"/>
        </w:rPr>
        <w:t>unanimous scientific consensus</w:t>
      </w:r>
      <w:r>
        <w:rPr>
          <w:rFonts w:ascii="Times New Roman" w:hAnsi="Times New Roman" w:cs="Times New Roman"/>
          <w:color w:val="000000"/>
          <w:sz w:val="20"/>
        </w:rPr>
        <w:t>.</w:t>
      </w:r>
      <w:r>
        <w:rPr>
          <w:rFonts w:ascii="Times New Roman" w:hAnsi="Times New Roman" w:cs="Times New Roman"/>
          <w:color w:val="000000"/>
          <w:sz w:val="20"/>
        </w:rPr>
        <w:t>”</w:t>
      </w:r>
      <w:r>
        <w:rPr>
          <w:rFonts w:ascii="Times New Roman" w:hAnsi="Times New Roman" w:cs="Times New Roman"/>
          <w:color w:val="000000"/>
          <w:sz w:val="20"/>
        </w:rPr>
        <w:t xml:space="preserve"> (Italics added.) As a legal matter, we think Monsant</w:t>
      </w:r>
      <w:r>
        <w:rPr>
          <w:rFonts w:ascii="Times New Roman" w:hAnsi="Times New Roman" w:cs="Times New Roman"/>
          <w:color w:val="000000"/>
          <w:sz w:val="20"/>
        </w:rPr>
        <w:t xml:space="preserve">o places undue emphasis on whether a </w:t>
      </w:r>
      <w:r>
        <w:rPr>
          <w:rFonts w:ascii="Times New Roman" w:hAnsi="Times New Roman" w:cs="Times New Roman"/>
          <w:color w:val="0000FF"/>
          <w:sz w:val="20"/>
        </w:rPr>
        <w:t>cancer</w:t>
      </w:r>
      <w:r>
        <w:rPr>
          <w:rFonts w:ascii="Times New Roman" w:hAnsi="Times New Roman" w:cs="Times New Roman"/>
          <w:color w:val="000000"/>
          <w:sz w:val="20"/>
        </w:rPr>
        <w:t xml:space="preserve"> link was a majority or minority position, to the exclusion of any consideration of the </w:t>
      </w:r>
      <w:r>
        <w:rPr>
          <w:rFonts w:ascii="Times New Roman" w:hAnsi="Times New Roman" w:cs="Times New Roman"/>
          <w:i/>
          <w:color w:val="000000"/>
          <w:sz w:val="20"/>
        </w:rPr>
        <w:t>quality</w:t>
      </w:r>
      <w:r>
        <w:rPr>
          <w:rFonts w:ascii="Times New Roman" w:hAnsi="Times New Roman" w:cs="Times New Roman"/>
          <w:color w:val="000000"/>
          <w:sz w:val="20"/>
        </w:rPr>
        <w:t xml:space="preserve"> of the studies. True, Monsanto was under no obligation to warn of a </w:t>
      </w:r>
      <w:r>
        <w:rPr>
          <w:rFonts w:ascii="Times New Roman" w:hAnsi="Times New Roman" w:cs="Times New Roman"/>
          <w:color w:val="000000"/>
          <w:sz w:val="20"/>
        </w:rPr>
        <w:t>“</w:t>
      </w:r>
      <w:r>
        <w:rPr>
          <w:rFonts w:ascii="Times New Roman" w:hAnsi="Times New Roman" w:cs="Times New Roman"/>
          <w:color w:val="000000"/>
          <w:sz w:val="20"/>
        </w:rPr>
        <w:t>speculative, conjectural, or tentative</w:t>
      </w:r>
      <w:r>
        <w:rPr>
          <w:rFonts w:ascii="Times New Roman" w:hAnsi="Times New Roman" w:cs="Times New Roman"/>
          <w:color w:val="000000"/>
          <w:sz w:val="20"/>
        </w:rPr>
        <w:t>”</w:t>
      </w:r>
      <w:r>
        <w:rPr>
          <w:rFonts w:ascii="Times New Roman" w:hAnsi="Times New Roman" w:cs="Times New Roman"/>
          <w:color w:val="000000"/>
          <w:sz w:val="20"/>
        </w:rPr>
        <w:t xml:space="preserve"> risk bas</w:t>
      </w:r>
      <w:r>
        <w:rPr>
          <w:rFonts w:ascii="Times New Roman" w:hAnsi="Times New Roman" w:cs="Times New Roman"/>
          <w:color w:val="000000"/>
          <w:sz w:val="20"/>
        </w:rPr>
        <w:t xml:space="preserve">ed on a </w:t>
      </w:r>
      <w:r>
        <w:rPr>
          <w:rFonts w:ascii="Times New Roman" w:hAnsi="Times New Roman" w:cs="Times New Roman"/>
          <w:color w:val="000000"/>
          <w:sz w:val="20"/>
        </w:rPr>
        <w:t>“</w:t>
      </w:r>
      <w:r>
        <w:rPr>
          <w:rFonts w:ascii="Times New Roman" w:hAnsi="Times New Roman" w:cs="Times New Roman"/>
          <w:color w:val="000000"/>
          <w:sz w:val="20"/>
        </w:rPr>
        <w:t>single isolated report of a possible link.</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Finn v. G. D. Searle &amp; Co.</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35 Cal.3d at p. 701</w:t>
      </w:r>
      <w:r>
        <w:rPr>
          <w:rFonts w:ascii="Times New Roman" w:hAnsi="Times New Roman" w:cs="Times New Roman"/>
          <w:color w:val="000000"/>
          <w:sz w:val="20"/>
        </w:rPr>
        <w:t xml:space="preserve">.) But it was obligated to </w:t>
      </w:r>
      <w:r>
        <w:rPr>
          <w:rFonts w:ascii="Times New Roman" w:hAnsi="Times New Roman" w:cs="Times New Roman"/>
          <w:color w:val="000000"/>
          <w:sz w:val="20"/>
        </w:rPr>
        <w:t>“</w:t>
      </w:r>
      <w:r>
        <w:rPr>
          <w:rFonts w:ascii="Times New Roman" w:hAnsi="Times New Roman" w:cs="Times New Roman"/>
          <w:color w:val="000000"/>
          <w:sz w:val="20"/>
        </w:rPr>
        <w:t xml:space="preserve">warn of </w:t>
      </w:r>
      <w:r>
        <w:rPr>
          <w:rFonts w:ascii="Times New Roman" w:hAnsi="Times New Roman" w:cs="Times New Roman"/>
          <w:i/>
          <w:color w:val="000000"/>
          <w:sz w:val="20"/>
        </w:rPr>
        <w:t>potential</w:t>
      </w:r>
      <w:r>
        <w:rPr>
          <w:rFonts w:ascii="Times New Roman" w:hAnsi="Times New Roman" w:cs="Times New Roman"/>
          <w:color w:val="000000"/>
          <w:sz w:val="20"/>
        </w:rPr>
        <w:t xml:space="preserve"> risks and side effects,</w:t>
      </w:r>
      <w:r>
        <w:rPr>
          <w:rFonts w:ascii="Times New Roman" w:hAnsi="Times New Roman" w:cs="Times New Roman"/>
          <w:color w:val="000000"/>
          <w:sz w:val="20"/>
        </w:rPr>
        <w:t>”</w:t>
      </w:r>
      <w:r>
        <w:rPr>
          <w:rFonts w:ascii="Times New Roman" w:hAnsi="Times New Roman" w:cs="Times New Roman"/>
          <w:color w:val="000000"/>
          <w:sz w:val="20"/>
        </w:rPr>
        <w:t xml:space="preserve"> that is, risks that were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existing in possibility</w:t>
      </w:r>
      <w:r>
        <w:rPr>
          <w:rFonts w:ascii="Times New Roman" w:hAnsi="Times New Roman" w:cs="Times New Roman"/>
          <w:color w:val="000000"/>
          <w:sz w:val="20"/>
        </w:rPr>
        <w:t>’</w:t>
      </w:r>
      <w:r>
        <w:rPr>
          <w:rFonts w:ascii="Times New Roman" w:hAnsi="Times New Roman" w:cs="Times New Roman"/>
          <w:color w:val="000000"/>
          <w:sz w:val="20"/>
        </w:rPr>
        <w:t xml:space="preserve"> or </w:t>
      </w:r>
      <w:r>
        <w:rPr>
          <w:rFonts w:ascii="Times New Roman" w:hAnsi="Times New Roman" w:cs="Times New Roman"/>
          <w:color w:val="000000"/>
          <w:sz w:val="20"/>
        </w:rPr>
        <w:t>‘</w:t>
      </w:r>
      <w:r>
        <w:rPr>
          <w:rFonts w:ascii="Times New Roman" w:hAnsi="Times New Roman" w:cs="Times New Roman"/>
          <w:color w:val="000000"/>
          <w:sz w:val="20"/>
        </w:rPr>
        <w:t>capable of developme</w:t>
      </w:r>
      <w:r>
        <w:rPr>
          <w:rFonts w:ascii="Times New Roman" w:hAnsi="Times New Roman" w:cs="Times New Roman"/>
          <w:color w:val="000000"/>
          <w:sz w:val="20"/>
        </w:rPr>
        <w:t>nt into actuality.</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Valentine v. Baxter Healthcare Corp.</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68 Cal.App.4th at p. 1483</w:t>
      </w:r>
      <w:r>
        <w:rPr>
          <w:rFonts w:ascii="Times New Roman" w:hAnsi="Times New Roman" w:cs="Times New Roman"/>
          <w:color w:val="000000"/>
          <w:sz w:val="20"/>
        </w:rPr>
        <w:t xml:space="preserve">.) Although evidence was presented that some scientists criticized the studies finding a link between Roundup and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or disagreed with the stud</w:t>
      </w:r>
      <w:r>
        <w:rPr>
          <w:rFonts w:ascii="Times New Roman" w:hAnsi="Times New Roman" w:cs="Times New Roman"/>
          <w:color w:val="000000"/>
          <w:sz w:val="20"/>
        </w:rPr>
        <w:t>ies</w:t>
      </w:r>
      <w:r>
        <w:rPr>
          <w:rFonts w:ascii="Times New Roman" w:hAnsi="Times New Roman" w:cs="Times New Roman"/>
          <w:color w:val="000000"/>
          <w:sz w:val="20"/>
        </w:rPr>
        <w:t>’</w:t>
      </w:r>
      <w:r>
        <w:rPr>
          <w:rFonts w:ascii="Times New Roman" w:hAnsi="Times New Roman" w:cs="Times New Roman"/>
          <w:color w:val="000000"/>
          <w:sz w:val="20"/>
        </w:rPr>
        <w:t xml:space="preserve"> conclusions, it was the jury</w:t>
      </w:r>
      <w:r>
        <w:rPr>
          <w:rFonts w:ascii="Times New Roman" w:hAnsi="Times New Roman" w:cs="Times New Roman"/>
          <w:color w:val="000000"/>
          <w:sz w:val="20"/>
        </w:rPr>
        <w:t>’</w:t>
      </w:r>
      <w:r>
        <w:rPr>
          <w:rFonts w:ascii="Times New Roman" w:hAnsi="Times New Roman" w:cs="Times New Roman"/>
          <w:color w:val="000000"/>
          <w:sz w:val="20"/>
        </w:rPr>
        <w:t>s decision how much weight to give this evidence.</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Furthermore, Monsanto falls short of establishing error even if we were to agree that the proper focus is on whether the link between glyphosate and </w:t>
      </w:r>
      <w:r>
        <w:rPr>
          <w:rFonts w:ascii="Times New Roman" w:hAnsi="Times New Roman" w:cs="Times New Roman"/>
          <w:color w:val="0000FF"/>
          <w:sz w:val="20"/>
        </w:rPr>
        <w:t>cancer</w:t>
      </w:r>
      <w:r>
        <w:rPr>
          <w:rFonts w:ascii="Times New Roman" w:hAnsi="Times New Roman" w:cs="Times New Roman"/>
          <w:color w:val="000000"/>
          <w:sz w:val="20"/>
        </w:rPr>
        <w:t xml:space="preserve"> was a </w:t>
      </w:r>
      <w:r>
        <w:rPr>
          <w:rFonts w:ascii="Times New Roman" w:hAnsi="Times New Roman" w:cs="Times New Roman"/>
          <w:color w:val="000000"/>
          <w:sz w:val="20"/>
        </w:rPr>
        <w:t>“</w:t>
      </w:r>
      <w:r>
        <w:rPr>
          <w:rFonts w:ascii="Times New Roman" w:hAnsi="Times New Roman" w:cs="Times New Roman"/>
          <w:color w:val="000000"/>
          <w:sz w:val="20"/>
        </w:rPr>
        <w:t>minorit</w:t>
      </w:r>
      <w:r>
        <w:rPr>
          <w:rFonts w:ascii="Times New Roman" w:hAnsi="Times New Roman" w:cs="Times New Roman"/>
          <w:color w:val="000000"/>
          <w:sz w:val="20"/>
        </w:rPr>
        <w:t>y</w:t>
      </w:r>
      <w:r>
        <w:rPr>
          <w:rFonts w:ascii="Times New Roman" w:hAnsi="Times New Roman" w:cs="Times New Roman"/>
          <w:color w:val="000000"/>
          <w:sz w:val="20"/>
        </w:rPr>
        <w:t>”</w:t>
      </w:r>
      <w:r>
        <w:rPr>
          <w:rFonts w:ascii="Times New Roman" w:hAnsi="Times New Roman" w:cs="Times New Roman"/>
          <w:color w:val="000000"/>
          <w:sz w:val="20"/>
        </w:rPr>
        <w:t xml:space="preserve"> view. The company claims</w:t>
      </w:r>
      <w:r>
        <w:rPr>
          <w:rFonts w:ascii="Times New Roman" w:hAnsi="Times New Roman" w:cs="Times New Roman"/>
          <w:color w:val="000000"/>
          <w:sz w:val="20"/>
        </w:rPr>
        <w:t>—</w:t>
      </w:r>
      <w:r>
        <w:rPr>
          <w:rFonts w:ascii="Times New Roman" w:hAnsi="Times New Roman" w:cs="Times New Roman"/>
          <w:color w:val="000000"/>
          <w:sz w:val="20"/>
        </w:rPr>
        <w:t>without citation to the record</w:t>
      </w:r>
      <w:r>
        <w:rPr>
          <w:rFonts w:ascii="Times New Roman" w:hAnsi="Times New Roman" w:cs="Times New Roman"/>
          <w:color w:val="000000"/>
          <w:sz w:val="20"/>
        </w:rPr>
        <w:t>—</w:t>
      </w:r>
      <w:r>
        <w:rPr>
          <w:rFonts w:ascii="Times New Roman" w:hAnsi="Times New Roman" w:cs="Times New Roman"/>
          <w:color w:val="000000"/>
          <w:sz w:val="20"/>
        </w:rPr>
        <w:t xml:space="preserve">that it was </w:t>
      </w:r>
      <w:r>
        <w:rPr>
          <w:rFonts w:ascii="Times New Roman" w:hAnsi="Times New Roman" w:cs="Times New Roman"/>
          <w:color w:val="000000"/>
          <w:sz w:val="20"/>
        </w:rPr>
        <w:t>“</w:t>
      </w:r>
      <w:r>
        <w:rPr>
          <w:rFonts w:ascii="Times New Roman" w:hAnsi="Times New Roman" w:cs="Times New Roman"/>
          <w:color w:val="000000"/>
          <w:sz w:val="20"/>
        </w:rPr>
        <w:t>undisputed</w:t>
      </w:r>
      <w:r>
        <w:rPr>
          <w:rFonts w:ascii="Times New Roman" w:hAnsi="Times New Roman" w:cs="Times New Roman"/>
          <w:color w:val="000000"/>
          <w:sz w:val="20"/>
        </w:rPr>
        <w:t>”</w:t>
      </w:r>
      <w:r>
        <w:rPr>
          <w:rFonts w:ascii="Times New Roman" w:hAnsi="Times New Roman" w:cs="Times New Roman"/>
          <w:color w:val="000000"/>
          <w:sz w:val="20"/>
        </w:rPr>
        <w:t xml:space="preserve"> at the time Johnson was exposed to Roundup products that the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best scholarship available</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 was </w:t>
      </w:r>
      <w:r>
        <w:rPr>
          <w:rFonts w:ascii="Times New Roman" w:hAnsi="Times New Roman" w:cs="Times New Roman"/>
          <w:color w:val="000000"/>
          <w:sz w:val="20"/>
        </w:rPr>
        <w:t>“</w:t>
      </w:r>
      <w:r>
        <w:rPr>
          <w:rFonts w:ascii="Times New Roman" w:hAnsi="Times New Roman" w:cs="Times New Roman"/>
          <w:color w:val="000000"/>
          <w:sz w:val="20"/>
        </w:rPr>
        <w:t>unanimous</w:t>
      </w:r>
      <w:r>
        <w:rPr>
          <w:rFonts w:ascii="Times New Roman" w:hAnsi="Times New Roman" w:cs="Times New Roman"/>
          <w:color w:val="000000"/>
          <w:sz w:val="20"/>
        </w:rPr>
        <w:t>”</w:t>
      </w:r>
      <w:r>
        <w:rPr>
          <w:rFonts w:ascii="Times New Roman" w:hAnsi="Times New Roman" w:cs="Times New Roman"/>
          <w:color w:val="000000"/>
          <w:sz w:val="20"/>
        </w:rPr>
        <w:t xml:space="preserve"> there was no causal link between glyphosate and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 xml:space="preserve">s </w:t>
      </w:r>
      <w:r>
        <w:rPr>
          <w:rFonts w:ascii="Times New Roman" w:hAnsi="Times New Roman" w:cs="Times New Roman"/>
          <w:color w:val="0000FF"/>
          <w:sz w:val="20"/>
        </w:rPr>
        <w:t>lymphoma</w:t>
      </w:r>
      <w:r>
        <w:rPr>
          <w:rFonts w:ascii="Times New Roman" w:hAnsi="Times New Roman" w:cs="Times New Roman"/>
          <w:color w:val="000000"/>
          <w:sz w:val="20"/>
        </w:rPr>
        <w:t xml:space="preserve"> (presumably, this is Monsanto</w:t>
      </w:r>
      <w:r>
        <w:rPr>
          <w:rFonts w:ascii="Times New Roman" w:hAnsi="Times New Roman" w:cs="Times New Roman"/>
          <w:color w:val="000000"/>
          <w:sz w:val="20"/>
        </w:rPr>
        <w:t>’</w:t>
      </w:r>
      <w:r>
        <w:rPr>
          <w:rFonts w:ascii="Times New Roman" w:hAnsi="Times New Roman" w:cs="Times New Roman"/>
          <w:color w:val="000000"/>
          <w:sz w:val="20"/>
        </w:rPr>
        <w:t>s characterization of various regulatory bodies</w:t>
      </w:r>
      <w:r>
        <w:rPr>
          <w:rFonts w:ascii="Times New Roman" w:hAnsi="Times New Roman" w:cs="Times New Roman"/>
          <w:color w:val="000000"/>
          <w:sz w:val="20"/>
        </w:rPr>
        <w:t>’</w:t>
      </w:r>
      <w:r>
        <w:rPr>
          <w:rFonts w:ascii="Times New Roman" w:hAnsi="Times New Roman" w:cs="Times New Roman"/>
          <w:color w:val="000000"/>
          <w:sz w:val="20"/>
        </w:rPr>
        <w:t xml:space="preserve"> assessment of glyphosate). This claim simply ignores the testimony about the four studies dating back to the 1990s finding evidence of </w:t>
      </w:r>
      <w:r>
        <w:rPr>
          <w:rFonts w:ascii="Times New Roman" w:hAnsi="Times New Roman" w:cs="Times New Roman"/>
          <w:color w:val="0000FF"/>
          <w:sz w:val="20"/>
        </w:rPr>
        <w:t>glyphosate</w:t>
      </w:r>
      <w:r>
        <w:rPr>
          <w:rFonts w:ascii="Times New Roman" w:hAnsi="Times New Roman" w:cs="Times New Roman"/>
          <w:color w:val="0000FF"/>
          <w:sz w:val="20"/>
        </w:rPr>
        <w:t>’</w:t>
      </w:r>
      <w:r>
        <w:rPr>
          <w:rFonts w:ascii="Times New Roman" w:hAnsi="Times New Roman" w:cs="Times New Roman"/>
          <w:color w:val="0000FF"/>
          <w:sz w:val="20"/>
        </w:rPr>
        <w:t>s toxicity</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Monsanto</w:t>
      </w:r>
      <w:r>
        <w:rPr>
          <w:rFonts w:ascii="Times New Roman" w:hAnsi="Times New Roman" w:cs="Times New Roman"/>
          <w:color w:val="000000"/>
          <w:sz w:val="20"/>
        </w:rPr>
        <w:t xml:space="preserve"> also argues that the Monograph</w:t>
      </w:r>
      <w:r>
        <w:rPr>
          <w:rFonts w:ascii="Times New Roman" w:hAnsi="Times New Roman" w:cs="Times New Roman"/>
          <w:color w:val="000000"/>
          <w:sz w:val="20"/>
        </w:rPr>
        <w:t>’</w:t>
      </w:r>
      <w:r>
        <w:rPr>
          <w:rFonts w:ascii="Times New Roman" w:hAnsi="Times New Roman" w:cs="Times New Roman"/>
          <w:color w:val="000000"/>
          <w:sz w:val="20"/>
        </w:rPr>
        <w:t xml:space="preserve">s findings that glyphosate is a probable human carcinogen were a </w:t>
      </w:r>
      <w:r>
        <w:rPr>
          <w:rFonts w:ascii="Times New Roman" w:hAnsi="Times New Roman" w:cs="Times New Roman"/>
          <w:color w:val="000000"/>
          <w:sz w:val="20"/>
        </w:rPr>
        <w:t>“</w:t>
      </w:r>
      <w:r>
        <w:rPr>
          <w:rFonts w:ascii="Times New Roman" w:hAnsi="Times New Roman" w:cs="Times New Roman"/>
          <w:color w:val="000000"/>
          <w:sz w:val="20"/>
        </w:rPr>
        <w:t>minority</w:t>
      </w:r>
      <w:r>
        <w:rPr>
          <w:rFonts w:ascii="Times New Roman" w:hAnsi="Times New Roman" w:cs="Times New Roman"/>
          <w:color w:val="000000"/>
          <w:sz w:val="20"/>
        </w:rPr>
        <w:t>”</w:t>
      </w:r>
      <w:r>
        <w:rPr>
          <w:rFonts w:ascii="Times New Roman" w:hAnsi="Times New Roman" w:cs="Times New Roman"/>
          <w:color w:val="000000"/>
          <w:sz w:val="20"/>
        </w:rPr>
        <w:t xml:space="preserve"> view, but the evidence it cites to support the argument is underwhelming. The company first cites the trial court</w:t>
      </w:r>
      <w:r>
        <w:rPr>
          <w:rFonts w:ascii="Times New Roman" w:hAnsi="Times New Roman" w:cs="Times New Roman"/>
          <w:color w:val="000000"/>
          <w:sz w:val="20"/>
        </w:rPr>
        <w:t>’</w:t>
      </w:r>
      <w:r>
        <w:rPr>
          <w:rFonts w:ascii="Times New Roman" w:hAnsi="Times New Roman" w:cs="Times New Roman"/>
          <w:color w:val="000000"/>
          <w:sz w:val="20"/>
        </w:rPr>
        <w:t>s order denying its motion for jud</w:t>
      </w:r>
      <w:r>
        <w:rPr>
          <w:rFonts w:ascii="Times New Roman" w:hAnsi="Times New Roman" w:cs="Times New Roman"/>
          <w:color w:val="000000"/>
          <w:sz w:val="20"/>
        </w:rPr>
        <w:t>gment notwithstanding the verdict and motion for new trial, which stated only that various regulatory and public health agencies worldwide had rejected claims about the carcinogenicity of glyphosate-based herbicides, not that these rejections represented t</w:t>
      </w:r>
      <w:r>
        <w:rPr>
          <w:rFonts w:ascii="Times New Roman" w:hAnsi="Times New Roman" w:cs="Times New Roman"/>
          <w:color w:val="000000"/>
          <w:sz w:val="20"/>
        </w:rPr>
        <w:t xml:space="preserve">he </w:t>
      </w:r>
      <w:r>
        <w:rPr>
          <w:rFonts w:ascii="Times New Roman" w:hAnsi="Times New Roman" w:cs="Times New Roman"/>
          <w:color w:val="000000"/>
          <w:sz w:val="20"/>
        </w:rPr>
        <w:t>“</w:t>
      </w:r>
      <w:r>
        <w:rPr>
          <w:rFonts w:ascii="Times New Roman" w:hAnsi="Times New Roman" w:cs="Times New Roman"/>
          <w:color w:val="000000"/>
          <w:sz w:val="20"/>
        </w:rPr>
        <w:t>majority</w:t>
      </w:r>
      <w:r>
        <w:rPr>
          <w:rFonts w:ascii="Times New Roman" w:hAnsi="Times New Roman" w:cs="Times New Roman"/>
          <w:color w:val="000000"/>
          <w:sz w:val="20"/>
        </w:rPr>
        <w:t>”</w:t>
      </w:r>
      <w:r>
        <w:rPr>
          <w:rFonts w:ascii="Times New Roman" w:hAnsi="Times New Roman" w:cs="Times New Roman"/>
          <w:color w:val="000000"/>
          <w:sz w:val="20"/>
        </w:rPr>
        <w:t xml:space="preserve"> view. It next cites an excerpt from an October 2015 Environmental Protection Agency (EPA) cancer-assessment document stating that </w:t>
      </w:r>
      <w:r>
        <w:rPr>
          <w:rFonts w:ascii="Times New Roman" w:hAnsi="Times New Roman" w:cs="Times New Roman"/>
          <w:color w:val="000000"/>
          <w:sz w:val="20"/>
        </w:rPr>
        <w:t>“</w:t>
      </w:r>
      <w:r>
        <w:rPr>
          <w:rFonts w:ascii="Times New Roman" w:hAnsi="Times New Roman" w:cs="Times New Roman"/>
          <w:color w:val="000000"/>
          <w:sz w:val="20"/>
        </w:rPr>
        <w:t>[t]he epidemiological evidence at this time is inconclusive for a causal or clear associative relationship betw</w:t>
      </w:r>
      <w:r>
        <w:rPr>
          <w:rFonts w:ascii="Times New Roman" w:hAnsi="Times New Roman" w:cs="Times New Roman"/>
          <w:color w:val="000000"/>
          <w:sz w:val="20"/>
        </w:rPr>
        <w:t>een glyphosate and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w:t>
      </w:r>
      <w:r>
        <w:rPr>
          <w:rFonts w:ascii="Times New Roman" w:hAnsi="Times New Roman" w:cs="Times New Roman"/>
          <w:color w:val="000000"/>
          <w:sz w:val="20"/>
        </w:rPr>
        <w:t>”</w:t>
      </w:r>
      <w:r>
        <w:rPr>
          <w:rFonts w:ascii="Times New Roman" w:hAnsi="Times New Roman" w:cs="Times New Roman"/>
          <w:color w:val="000000"/>
          <w:sz w:val="20"/>
        </w:rPr>
        <w:t xml:space="preserve"> And it cites a September 2016 EPA glyphosate issue paper weighing what descriptor to assign the chemical for its risk of carcinogenic potential. The paper noted there was </w:t>
      </w:r>
      <w:r>
        <w:rPr>
          <w:rFonts w:ascii="Times New Roman" w:hAnsi="Times New Roman" w:cs="Times New Roman"/>
          <w:color w:val="000000"/>
          <w:sz w:val="20"/>
        </w:rPr>
        <w:t>“</w:t>
      </w:r>
      <w:r>
        <w:rPr>
          <w:rFonts w:ascii="Times New Roman" w:hAnsi="Times New Roman" w:cs="Times New Roman"/>
          <w:color w:val="000000"/>
          <w:sz w:val="20"/>
        </w:rPr>
        <w:t xml:space="preserve">not strong support for the </w:t>
      </w:r>
      <w:r>
        <w:rPr>
          <w:rFonts w:ascii="Times New Roman" w:hAnsi="Times New Roman" w:cs="Times New Roman"/>
          <w:color w:val="000000"/>
          <w:sz w:val="20"/>
        </w:rPr>
        <w:t>‘</w:t>
      </w:r>
      <w:r>
        <w:rPr>
          <w:rFonts w:ascii="Times New Roman" w:hAnsi="Times New Roman" w:cs="Times New Roman"/>
          <w:color w:val="000000"/>
          <w:sz w:val="20"/>
        </w:rPr>
        <w:t>suggestive</w:t>
      </w:r>
      <w:r>
        <w:rPr>
          <w:rFonts w:ascii="Times New Roman" w:hAnsi="Times New Roman" w:cs="Times New Roman"/>
          <w:color w:val="000000"/>
          <w:sz w:val="20"/>
        </w:rPr>
        <w:t xml:space="preserve"> evidence of carcinogenic potential</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FF"/>
          <w:sz w:val="20"/>
        </w:rPr>
        <w:t>cancer</w:t>
      </w:r>
      <w:r>
        <w:rPr>
          <w:rFonts w:ascii="Times New Roman" w:hAnsi="Times New Roman" w:cs="Times New Roman"/>
          <w:color w:val="000000"/>
          <w:sz w:val="20"/>
        </w:rPr>
        <w:t xml:space="preserve"> classification descriptor based on the weight-of-evidence,</w:t>
      </w:r>
      <w:r>
        <w:rPr>
          <w:rFonts w:ascii="Times New Roman" w:hAnsi="Times New Roman" w:cs="Times New Roman"/>
          <w:color w:val="000000"/>
          <w:sz w:val="20"/>
        </w:rPr>
        <w:t>”</w:t>
      </w:r>
      <w:r>
        <w:rPr>
          <w:rFonts w:ascii="Times New Roman" w:hAnsi="Times New Roman" w:cs="Times New Roman"/>
          <w:color w:val="000000"/>
          <w:sz w:val="20"/>
        </w:rPr>
        <w:t xml:space="preserve"> and also noted that </w:t>
      </w:r>
      <w:r>
        <w:rPr>
          <w:rFonts w:ascii="Times New Roman" w:hAnsi="Times New Roman" w:cs="Times New Roman"/>
          <w:color w:val="000000"/>
          <w:sz w:val="20"/>
        </w:rPr>
        <w:t>“</w:t>
      </w:r>
      <w:r>
        <w:rPr>
          <w:rFonts w:ascii="Times New Roman" w:hAnsi="Times New Roman" w:cs="Times New Roman"/>
          <w:color w:val="000000"/>
          <w:sz w:val="20"/>
        </w:rPr>
        <w:t>due to conflicting results and various limitations identified in studies investigating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a conclusion regar</w:t>
      </w:r>
      <w:r>
        <w:rPr>
          <w:rFonts w:ascii="Times New Roman" w:hAnsi="Times New Roman" w:cs="Times New Roman"/>
          <w:color w:val="000000"/>
          <w:sz w:val="20"/>
        </w:rPr>
        <w:t>ding the association between glyphosate exposure and risk of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cannot be determined based on the available data.</w:t>
      </w:r>
      <w:r>
        <w:rPr>
          <w:rFonts w:ascii="Times New Roman" w:hAnsi="Times New Roman" w:cs="Times New Roman"/>
          <w:color w:val="000000"/>
          <w:sz w:val="20"/>
        </w:rPr>
        <w:t>”</w:t>
      </w:r>
      <w:r>
        <w:rPr>
          <w:rFonts w:ascii="Times New Roman" w:hAnsi="Times New Roman" w:cs="Times New Roman"/>
          <w:color w:val="000000"/>
          <w:sz w:val="20"/>
        </w:rPr>
        <w:t xml:space="preserve"> Finally, Monsanto cites to an excerpt from an opinion from the European Chemicals Agency stating that under the </w:t>
      </w:r>
      <w:r>
        <w:rPr>
          <w:rFonts w:ascii="Times New Roman" w:hAnsi="Times New Roman" w:cs="Times New Roman"/>
          <w:color w:val="000000"/>
          <w:sz w:val="20"/>
        </w:rPr>
        <w:t>“</w:t>
      </w:r>
      <w:r>
        <w:rPr>
          <w:rFonts w:ascii="Times New Roman" w:hAnsi="Times New Roman" w:cs="Times New Roman"/>
          <w:color w:val="000000"/>
          <w:sz w:val="20"/>
        </w:rPr>
        <w:t>weight</w:t>
      </w:r>
      <w:r>
        <w:rPr>
          <w:rFonts w:ascii="Times New Roman" w:hAnsi="Times New Roman" w:cs="Times New Roman"/>
          <w:color w:val="000000"/>
          <w:sz w:val="20"/>
        </w:rPr>
        <w:t xml:space="preserve"> of evidence approach, no classification for carcinogenicity</w:t>
      </w:r>
      <w:r>
        <w:rPr>
          <w:rFonts w:ascii="Times New Roman" w:hAnsi="Times New Roman" w:cs="Times New Roman"/>
          <w:color w:val="000000"/>
          <w:sz w:val="20"/>
        </w:rPr>
        <w:t>”</w:t>
      </w:r>
      <w:r>
        <w:rPr>
          <w:rFonts w:ascii="Times New Roman" w:hAnsi="Times New Roman" w:cs="Times New Roman"/>
          <w:color w:val="000000"/>
          <w:sz w:val="20"/>
        </w:rPr>
        <w:t xml:space="preserve"> was warranted. (Bold omitted.)</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22" w:name="co_pp_sp_999_9_1"/>
      <w:bookmarkEnd w:id="22"/>
      <w:r>
        <w:rPr>
          <w:rFonts w:ascii="Times New Roman" w:hAnsi="Times New Roman" w:cs="Times New Roman"/>
          <w:b/>
          <w:color w:val="000000"/>
          <w:sz w:val="20"/>
        </w:rPr>
        <w:t>*9</w:t>
      </w:r>
      <w:r>
        <w:rPr>
          <w:rFonts w:ascii="Times New Roman" w:hAnsi="Times New Roman" w:cs="Times New Roman"/>
          <w:color w:val="000000"/>
          <w:sz w:val="20"/>
        </w:rPr>
        <w:t xml:space="preserve"> None of this evidence establishes that the findings about glyphosate</w:t>
      </w:r>
      <w:r>
        <w:rPr>
          <w:rFonts w:ascii="Times New Roman" w:hAnsi="Times New Roman" w:cs="Times New Roman"/>
          <w:color w:val="000000"/>
          <w:sz w:val="20"/>
        </w:rPr>
        <w:t>’</w:t>
      </w:r>
      <w:r>
        <w:rPr>
          <w:rFonts w:ascii="Times New Roman" w:hAnsi="Times New Roman" w:cs="Times New Roman"/>
          <w:color w:val="000000"/>
          <w:sz w:val="20"/>
        </w:rPr>
        <w:t xml:space="preserve">s potential link to </w:t>
      </w:r>
      <w:r>
        <w:rPr>
          <w:rFonts w:ascii="Times New Roman" w:hAnsi="Times New Roman" w:cs="Times New Roman"/>
          <w:color w:val="0000FF"/>
          <w:sz w:val="20"/>
        </w:rPr>
        <w:t>cancer</w:t>
      </w:r>
      <w:r>
        <w:rPr>
          <w:rFonts w:ascii="Times New Roman" w:hAnsi="Times New Roman" w:cs="Times New Roman"/>
          <w:color w:val="000000"/>
          <w:sz w:val="20"/>
        </w:rPr>
        <w:t xml:space="preserve"> necessarily reflected a minori</w:t>
      </w:r>
      <w:r>
        <w:rPr>
          <w:rFonts w:ascii="Times New Roman" w:hAnsi="Times New Roman" w:cs="Times New Roman"/>
          <w:color w:val="000000"/>
          <w:sz w:val="20"/>
        </w:rPr>
        <w:t xml:space="preserve">ty view. Again, experts testified that the IARC is a reliable and respected source of classifying whether substances cause </w:t>
      </w:r>
      <w:r>
        <w:rPr>
          <w:rFonts w:ascii="Times New Roman" w:hAnsi="Times New Roman" w:cs="Times New Roman"/>
          <w:color w:val="0000FF"/>
          <w:sz w:val="20"/>
        </w:rPr>
        <w:t>cancer</w:t>
      </w:r>
      <w:r>
        <w:rPr>
          <w:rFonts w:ascii="Times New Roman" w:hAnsi="Times New Roman" w:cs="Times New Roman"/>
          <w:color w:val="000000"/>
          <w:sz w:val="20"/>
        </w:rPr>
        <w:t xml:space="preserve"> and is </w:t>
      </w:r>
      <w:r>
        <w:rPr>
          <w:rFonts w:ascii="Times New Roman" w:hAnsi="Times New Roman" w:cs="Times New Roman"/>
          <w:color w:val="000000"/>
          <w:sz w:val="20"/>
        </w:rPr>
        <w:t>“</w:t>
      </w:r>
      <w:r>
        <w:rPr>
          <w:rFonts w:ascii="Times New Roman" w:hAnsi="Times New Roman" w:cs="Times New Roman"/>
          <w:color w:val="000000"/>
          <w:sz w:val="20"/>
        </w:rPr>
        <w:t>usually the main arbiter of what a cancer-causing agent is.</w:t>
      </w:r>
      <w:r>
        <w:rPr>
          <w:rFonts w:ascii="Times New Roman" w:hAnsi="Times New Roman" w:cs="Times New Roman"/>
          <w:color w:val="000000"/>
          <w:sz w:val="20"/>
        </w:rPr>
        <w:t>”</w:t>
      </w:r>
      <w:r>
        <w:rPr>
          <w:rFonts w:ascii="Times New Roman" w:hAnsi="Times New Roman" w:cs="Times New Roman"/>
          <w:color w:val="000000"/>
          <w:sz w:val="20"/>
        </w:rPr>
        <w:t xml:space="preserve"> When one expert was asked whether he would consult with the EPA on whether an agent caused </w:t>
      </w:r>
      <w:r>
        <w:rPr>
          <w:rFonts w:ascii="Times New Roman" w:hAnsi="Times New Roman" w:cs="Times New Roman"/>
          <w:color w:val="0000FF"/>
          <w:sz w:val="20"/>
        </w:rPr>
        <w:t>cancer</w:t>
      </w:r>
      <w:r>
        <w:rPr>
          <w:rFonts w:ascii="Times New Roman" w:hAnsi="Times New Roman" w:cs="Times New Roman"/>
          <w:color w:val="000000"/>
          <w:sz w:val="20"/>
        </w:rPr>
        <w:t xml:space="preserve">, he responded, </w:t>
      </w:r>
      <w:r>
        <w:rPr>
          <w:rFonts w:ascii="Times New Roman" w:hAnsi="Times New Roman" w:cs="Times New Roman"/>
          <w:color w:val="000000"/>
          <w:sz w:val="20"/>
        </w:rPr>
        <w:t>“</w:t>
      </w:r>
      <w:r>
        <w:rPr>
          <w:rFonts w:ascii="Times New Roman" w:hAnsi="Times New Roman" w:cs="Times New Roman"/>
          <w:color w:val="000000"/>
          <w:sz w:val="20"/>
        </w:rPr>
        <w:t>It never crossed my mind.</w:t>
      </w:r>
      <w:r>
        <w:rPr>
          <w:rFonts w:ascii="Times New Roman" w:hAnsi="Times New Roman" w:cs="Times New Roman"/>
          <w:color w:val="000000"/>
          <w:sz w:val="20"/>
        </w:rPr>
        <w:t>”</w:t>
      </w:r>
      <w:r>
        <w:rPr>
          <w:rFonts w:ascii="Times New Roman" w:hAnsi="Times New Roman" w:cs="Times New Roman"/>
          <w:color w:val="000000"/>
          <w:sz w:val="20"/>
        </w:rPr>
        <w:t xml:space="preserve"> An IARC working group voted unanimously to classify glyphosate as a probable human carcinogen. True, Monsanto can </w:t>
      </w:r>
      <w:r>
        <w:rPr>
          <w:rFonts w:ascii="Times New Roman" w:hAnsi="Times New Roman" w:cs="Times New Roman"/>
          <w:color w:val="000000"/>
          <w:sz w:val="20"/>
        </w:rPr>
        <w:t xml:space="preserve">point to various statements that such a classification was not warranted because the evidence was inconclusive. But these statements do not undermine the strength of the Monograph or render it a </w:t>
      </w:r>
      <w:r>
        <w:rPr>
          <w:rFonts w:ascii="Times New Roman" w:hAnsi="Times New Roman" w:cs="Times New Roman"/>
          <w:color w:val="000000"/>
          <w:sz w:val="20"/>
        </w:rPr>
        <w:t>“</w:t>
      </w:r>
      <w:r>
        <w:rPr>
          <w:rFonts w:ascii="Times New Roman" w:hAnsi="Times New Roman" w:cs="Times New Roman"/>
          <w:color w:val="000000"/>
          <w:sz w:val="20"/>
        </w:rPr>
        <w:t>minority</w:t>
      </w:r>
      <w:r>
        <w:rPr>
          <w:rFonts w:ascii="Times New Roman" w:hAnsi="Times New Roman" w:cs="Times New Roman"/>
          <w:color w:val="000000"/>
          <w:sz w:val="20"/>
        </w:rPr>
        <w:t>”</w:t>
      </w:r>
      <w:r>
        <w:rPr>
          <w:rFonts w:ascii="Times New Roman" w:hAnsi="Times New Roman" w:cs="Times New Roman"/>
          <w:color w:val="000000"/>
          <w:sz w:val="20"/>
        </w:rPr>
        <w:t xml:space="preserve"> position. Under strict liability failure-to-warn s</w:t>
      </w:r>
      <w:r>
        <w:rPr>
          <w:rFonts w:ascii="Times New Roman" w:hAnsi="Times New Roman" w:cs="Times New Roman"/>
          <w:color w:val="000000"/>
          <w:sz w:val="20"/>
        </w:rPr>
        <w:t xml:space="preserve">tandards, Monsanto is </w:t>
      </w:r>
      <w:r>
        <w:rPr>
          <w:rFonts w:ascii="Times New Roman" w:hAnsi="Times New Roman" w:cs="Times New Roman"/>
          <w:color w:val="000000"/>
          <w:sz w:val="20"/>
        </w:rPr>
        <w:t>“</w:t>
      </w:r>
      <w:r>
        <w:rPr>
          <w:rFonts w:ascii="Times New Roman" w:hAnsi="Times New Roman" w:cs="Times New Roman"/>
          <w:color w:val="000000"/>
          <w:sz w:val="20"/>
        </w:rPr>
        <w:t>held to the knowledge and skill of an expert in the field; it is obliged to keep abreast of any scientific discoveries and is presumed to know the results of all such advances.</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Carlin v. Superior Court</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13 Cal.4th at p. 1113</w:t>
      </w:r>
      <w:r>
        <w:rPr>
          <w:rFonts w:ascii="Times New Roman" w:hAnsi="Times New Roman" w:cs="Times New Roman"/>
          <w:color w:val="0000FF"/>
          <w:sz w:val="20"/>
        </w:rPr>
        <w:t>, fn. 3</w:t>
      </w:r>
      <w:r>
        <w:rPr>
          <w:rFonts w:ascii="Times New Roman" w:hAnsi="Times New Roman" w:cs="Times New Roman"/>
          <w:color w:val="000000"/>
          <w:sz w:val="20"/>
        </w:rPr>
        <w:t xml:space="preserve">.) Monsanto cannot avoid liability </w:t>
      </w:r>
      <w:r>
        <w:rPr>
          <w:rFonts w:ascii="Times New Roman" w:hAnsi="Times New Roman" w:cs="Times New Roman"/>
          <w:color w:val="000000"/>
          <w:sz w:val="20"/>
        </w:rPr>
        <w:t>“</w:t>
      </w:r>
      <w:r>
        <w:rPr>
          <w:rFonts w:ascii="Times New Roman" w:hAnsi="Times New Roman" w:cs="Times New Roman"/>
          <w:color w:val="000000"/>
          <w:sz w:val="20"/>
        </w:rPr>
        <w:t xml:space="preserve">merely because its failure to warn of a known or reasonably scientifically knowable risk conformed to an industry-wide practice of failing to provide warnings that constituted the standard </w:t>
      </w:r>
      <w:r>
        <w:rPr>
          <w:rFonts w:ascii="Times New Roman" w:hAnsi="Times New Roman" w:cs="Times New Roman"/>
          <w:color w:val="000000"/>
          <w:sz w:val="20"/>
        </w:rPr>
        <w:lastRenderedPageBreak/>
        <w:t>of reasonable care</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id.</w:t>
      </w:r>
      <w:r>
        <w:rPr>
          <w:rFonts w:ascii="Times New Roman" w:hAnsi="Times New Roman" w:cs="Times New Roman"/>
          <w:color w:val="0000FF"/>
          <w:sz w:val="20"/>
        </w:rPr>
        <w:t xml:space="preserve"> at pp. 1112</w:t>
      </w:r>
      <w:r>
        <w:rPr>
          <w:rFonts w:ascii="Times New Roman" w:hAnsi="Times New Roman" w:cs="Times New Roman"/>
          <w:color w:val="0000FF"/>
          <w:sz w:val="20"/>
        </w:rPr>
        <w:t>–</w:t>
      </w:r>
      <w:r>
        <w:rPr>
          <w:rFonts w:ascii="Times New Roman" w:hAnsi="Times New Roman" w:cs="Times New Roman"/>
          <w:color w:val="0000FF"/>
          <w:sz w:val="20"/>
        </w:rPr>
        <w:t>1113</w:t>
      </w:r>
      <w:r>
        <w:rPr>
          <w:rFonts w:ascii="Times New Roman" w:hAnsi="Times New Roman" w:cs="Times New Roman"/>
          <w:color w:val="000000"/>
          <w:sz w:val="20"/>
        </w:rPr>
        <w:t xml:space="preserve">), nor can it avoid liability simply because its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own testing showed a result contrary to that of others in the scientific community.</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Id.</w:t>
      </w:r>
      <w:r>
        <w:rPr>
          <w:rFonts w:ascii="Times New Roman" w:hAnsi="Times New Roman" w:cs="Times New Roman"/>
          <w:color w:val="0000FF"/>
          <w:sz w:val="20"/>
        </w:rPr>
        <w:t xml:space="preserve"> at p. 1112</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As Monsanto acknowledges, we review the judgment for substantial evidence, that </w:t>
      </w:r>
      <w:r>
        <w:rPr>
          <w:rFonts w:ascii="Times New Roman" w:hAnsi="Times New Roman" w:cs="Times New Roman"/>
          <w:color w:val="000000"/>
          <w:sz w:val="20"/>
        </w:rPr>
        <w:t xml:space="preserve">is,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[w]here findings of fact are challenged on a civil appeal, we are bound by the </w:t>
      </w:r>
      <w:r>
        <w:rPr>
          <w:rFonts w:ascii="Times New Roman" w:hAnsi="Times New Roman" w:cs="Times New Roman"/>
          <w:color w:val="000000"/>
          <w:sz w:val="20"/>
        </w:rPr>
        <w:t>“</w:t>
      </w:r>
      <w:r>
        <w:rPr>
          <w:rFonts w:ascii="Times New Roman" w:hAnsi="Times New Roman" w:cs="Times New Roman"/>
          <w:color w:val="000000"/>
          <w:sz w:val="20"/>
        </w:rPr>
        <w:t>elementary, but often overlooked principle of law, that ... the power of an appellate court begins and ends with a determination as to whether there is any substantial e</w:t>
      </w:r>
      <w:r>
        <w:rPr>
          <w:rFonts w:ascii="Times New Roman" w:hAnsi="Times New Roman" w:cs="Times New Roman"/>
          <w:color w:val="000000"/>
          <w:sz w:val="20"/>
        </w:rPr>
        <w:t>vidence, contradicted or uncontradicted,</w:t>
      </w:r>
      <w:r>
        <w:rPr>
          <w:rFonts w:ascii="Times New Roman" w:hAnsi="Times New Roman" w:cs="Times New Roman"/>
          <w:color w:val="000000"/>
          <w:sz w:val="20"/>
        </w:rPr>
        <w:t>”</w:t>
      </w:r>
      <w:r>
        <w:rPr>
          <w:rFonts w:ascii="Times New Roman" w:hAnsi="Times New Roman" w:cs="Times New Roman"/>
          <w:color w:val="000000"/>
          <w:sz w:val="20"/>
        </w:rPr>
        <w:t xml:space="preserve"> to support the findings below. [Citation.] We must therefore view the evidence in the light most favorable to the prevailing party, giving it the benefit of every reasonable inference and resolving all conflicts in</w:t>
      </w:r>
      <w:r>
        <w:rPr>
          <w:rFonts w:ascii="Times New Roman" w:hAnsi="Times New Roman" w:cs="Times New Roman"/>
          <w:color w:val="000000"/>
          <w:sz w:val="20"/>
        </w:rPr>
        <w:t xml:space="preserve"> its favor in accordance with the standard of review so long adhered to by this court.</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Bickel v. City of Piedmont</w:t>
      </w:r>
      <w:r>
        <w:rPr>
          <w:rFonts w:ascii="Times New Roman" w:hAnsi="Times New Roman" w:cs="Times New Roman"/>
          <w:color w:val="0000FF"/>
          <w:sz w:val="20"/>
        </w:rPr>
        <w:t xml:space="preserve"> (1997) 16 Cal.4th 1040, 1053</w:t>
      </w:r>
      <w:r>
        <w:rPr>
          <w:rFonts w:ascii="Times New Roman" w:hAnsi="Times New Roman" w:cs="Times New Roman"/>
          <w:color w:val="000000"/>
          <w:sz w:val="20"/>
        </w:rPr>
        <w:t>.) Viewing the evidence in the light most favorable to Johnson, we must conclude that substantial evidence sup</w:t>
      </w:r>
      <w:r>
        <w:rPr>
          <w:rFonts w:ascii="Times New Roman" w:hAnsi="Times New Roman" w:cs="Times New Roman"/>
          <w:color w:val="000000"/>
          <w:sz w:val="20"/>
        </w:rPr>
        <w:t>ported the jury</w:t>
      </w:r>
      <w:r>
        <w:rPr>
          <w:rFonts w:ascii="Times New Roman" w:hAnsi="Times New Roman" w:cs="Times New Roman"/>
          <w:color w:val="000000"/>
          <w:sz w:val="20"/>
        </w:rPr>
        <w:t>’</w:t>
      </w:r>
      <w:r>
        <w:rPr>
          <w:rFonts w:ascii="Times New Roman" w:hAnsi="Times New Roman" w:cs="Times New Roman"/>
          <w:color w:val="000000"/>
          <w:sz w:val="20"/>
        </w:rPr>
        <w:t xml:space="preserve">s conclusion that the </w:t>
      </w:r>
      <w:r>
        <w:rPr>
          <w:rFonts w:ascii="Times New Roman" w:hAnsi="Times New Roman" w:cs="Times New Roman"/>
          <w:color w:val="0000FF"/>
          <w:sz w:val="20"/>
        </w:rPr>
        <w:t>cancer</w:t>
      </w:r>
      <w:r>
        <w:rPr>
          <w:rFonts w:ascii="Times New Roman" w:hAnsi="Times New Roman" w:cs="Times New Roman"/>
          <w:color w:val="000000"/>
          <w:sz w:val="20"/>
        </w:rPr>
        <w:t xml:space="preserve"> risk of glyphosate was known or knowable to Monsanto.</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As for the jury</w:t>
      </w:r>
      <w:r>
        <w:rPr>
          <w:rFonts w:ascii="Times New Roman" w:hAnsi="Times New Roman" w:cs="Times New Roman"/>
          <w:color w:val="000000"/>
          <w:sz w:val="20"/>
        </w:rPr>
        <w:t>’</w:t>
      </w:r>
      <w:r>
        <w:rPr>
          <w:rFonts w:ascii="Times New Roman" w:hAnsi="Times New Roman" w:cs="Times New Roman"/>
          <w:color w:val="000000"/>
          <w:sz w:val="20"/>
        </w:rPr>
        <w:t xml:space="preserve">s finding that Monsanto also was liable for </w:t>
      </w:r>
      <w:r>
        <w:rPr>
          <w:rFonts w:ascii="Times New Roman" w:hAnsi="Times New Roman" w:cs="Times New Roman"/>
          <w:i/>
          <w:color w:val="000000"/>
          <w:sz w:val="20"/>
        </w:rPr>
        <w:t>negligently</w:t>
      </w:r>
      <w:r>
        <w:rPr>
          <w:rFonts w:ascii="Times New Roman" w:hAnsi="Times New Roman" w:cs="Times New Roman"/>
          <w:color w:val="000000"/>
          <w:sz w:val="20"/>
        </w:rPr>
        <w:t xml:space="preserve"> failing to warn of the potential risks of glyphosate, Monsanto</w:t>
      </w:r>
      <w:r>
        <w:rPr>
          <w:rFonts w:ascii="Times New Roman" w:hAnsi="Times New Roman" w:cs="Times New Roman"/>
          <w:color w:val="000000"/>
          <w:sz w:val="20"/>
        </w:rPr>
        <w:t>’</w:t>
      </w:r>
      <w:r>
        <w:rPr>
          <w:rFonts w:ascii="Times New Roman" w:hAnsi="Times New Roman" w:cs="Times New Roman"/>
          <w:color w:val="000000"/>
          <w:sz w:val="20"/>
        </w:rPr>
        <w:t>s only appellate arg</w:t>
      </w:r>
      <w:r>
        <w:rPr>
          <w:rFonts w:ascii="Times New Roman" w:hAnsi="Times New Roman" w:cs="Times New Roman"/>
          <w:color w:val="000000"/>
          <w:sz w:val="20"/>
        </w:rPr>
        <w:t>ument is that this claim necessarily fails because the claim under strict liability fails. (</w:t>
      </w:r>
      <w:r>
        <w:rPr>
          <w:rFonts w:ascii="Times New Roman" w:hAnsi="Times New Roman" w:cs="Times New Roman"/>
          <w:i/>
          <w:color w:val="0000FF"/>
          <w:sz w:val="20"/>
        </w:rPr>
        <w:t>Valentine v. Baxter Healthcare Corp.</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68 Cal.App.4th at p. 1482</w:t>
      </w:r>
      <w:r>
        <w:rPr>
          <w:rFonts w:ascii="Times New Roman" w:hAnsi="Times New Roman" w:cs="Times New Roman"/>
          <w:color w:val="000000"/>
          <w:sz w:val="20"/>
        </w:rPr>
        <w:t xml:space="preserve"> [defense verdict on strict liability failure-to-warn claim precluded liability under negligen</w:t>
      </w:r>
      <w:r>
        <w:rPr>
          <w:rFonts w:ascii="Times New Roman" w:hAnsi="Times New Roman" w:cs="Times New Roman"/>
          <w:color w:val="000000"/>
          <w:sz w:val="20"/>
        </w:rPr>
        <w:t>t failure-to-warn theory].) Because we find that substantial evidence supports the verdict under a strict liability failure-to-warn theory, we affirm the verdict under a negligent failure-to-warn theory as well.</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23" w:name="co_anchor_I2f44c6b1cad611eaad728cad1da01"/>
      <w:bookmarkEnd w:id="23"/>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600" w:after="200"/>
        <w:jc w:val="center"/>
        <w:rPr>
          <w:rFonts w:ascii="Times New Roman" w:hAnsi="Times New Roman" w:cs="Times New Roman"/>
          <w:color w:val="000000"/>
          <w:sz w:val="20"/>
        </w:rPr>
      </w:pPr>
      <w:r>
        <w:rPr>
          <w:rFonts w:ascii="Times New Roman" w:hAnsi="Times New Roman" w:cs="Times New Roman"/>
          <w:color w:val="000000"/>
          <w:sz w:val="20"/>
        </w:rPr>
        <w:t>2. Monsanto Was Liable on the Design Defect Claim Under the Consumer-expectations Test.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Our affirmance on Johnson</w:t>
      </w:r>
      <w:r>
        <w:rPr>
          <w:rFonts w:ascii="Times New Roman" w:hAnsi="Times New Roman" w:cs="Times New Roman"/>
          <w:color w:val="000000"/>
          <w:sz w:val="20"/>
        </w:rPr>
        <w:t>’</w:t>
      </w:r>
      <w:r>
        <w:rPr>
          <w:rFonts w:ascii="Times New Roman" w:hAnsi="Times New Roman" w:cs="Times New Roman"/>
          <w:color w:val="000000"/>
          <w:sz w:val="20"/>
        </w:rPr>
        <w:t>s failure-to-warn theories of recovery is alone sufficient to uphold the judgment. (</w:t>
      </w:r>
      <w:r>
        <w:rPr>
          <w:rFonts w:ascii="Times New Roman" w:hAnsi="Times New Roman" w:cs="Times New Roman"/>
          <w:i/>
          <w:color w:val="0000FF"/>
          <w:sz w:val="20"/>
        </w:rPr>
        <w:t>Jones v. John Cran</w:t>
      </w:r>
      <w:r>
        <w:rPr>
          <w:rFonts w:ascii="Times New Roman" w:hAnsi="Times New Roman" w:cs="Times New Roman"/>
          <w:i/>
          <w:color w:val="0000FF"/>
          <w:sz w:val="20"/>
        </w:rPr>
        <w:t>e, Inc.</w:t>
      </w:r>
      <w:r>
        <w:rPr>
          <w:rFonts w:ascii="Times New Roman" w:hAnsi="Times New Roman" w:cs="Times New Roman"/>
          <w:color w:val="0000FF"/>
          <w:sz w:val="20"/>
        </w:rPr>
        <w:t xml:space="preserve"> (2005) 132 Cal.App.4th 990, 1001</w:t>
      </w:r>
      <w:r>
        <w:rPr>
          <w:rFonts w:ascii="Times New Roman" w:hAnsi="Times New Roman" w:cs="Times New Roman"/>
          <w:color w:val="000000"/>
          <w:sz w:val="20"/>
        </w:rPr>
        <w:t>.) We nonetheless exercise our discretion to consider, and reject, Monsanto</w:t>
      </w:r>
      <w:r>
        <w:rPr>
          <w:rFonts w:ascii="Times New Roman" w:hAnsi="Times New Roman" w:cs="Times New Roman"/>
          <w:color w:val="000000"/>
          <w:sz w:val="20"/>
        </w:rPr>
        <w:t>’</w:t>
      </w:r>
      <w:r>
        <w:rPr>
          <w:rFonts w:ascii="Times New Roman" w:hAnsi="Times New Roman" w:cs="Times New Roman"/>
          <w:color w:val="000000"/>
          <w:sz w:val="20"/>
        </w:rPr>
        <w:t>s separate claim that the jury improperly found the company liable under Johnson</w:t>
      </w:r>
      <w:r>
        <w:rPr>
          <w:rFonts w:ascii="Times New Roman" w:hAnsi="Times New Roman" w:cs="Times New Roman"/>
          <w:color w:val="000000"/>
          <w:sz w:val="20"/>
        </w:rPr>
        <w:t>’</w:t>
      </w:r>
      <w:r>
        <w:rPr>
          <w:rFonts w:ascii="Times New Roman" w:hAnsi="Times New Roman" w:cs="Times New Roman"/>
          <w:color w:val="000000"/>
          <w:sz w:val="20"/>
        </w:rPr>
        <w:t>s design defect claim.</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24" w:name="co_anchor_I2f4562f1cad611eaad728cad1da01"/>
      <w:bookmarkEnd w:id="24"/>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600" w:after="200"/>
        <w:jc w:val="center"/>
        <w:rPr>
          <w:rFonts w:ascii="Times New Roman" w:hAnsi="Times New Roman" w:cs="Times New Roman"/>
          <w:color w:val="000000"/>
          <w:sz w:val="20"/>
        </w:rPr>
      </w:pPr>
      <w:r>
        <w:rPr>
          <w:rFonts w:ascii="Times New Roman" w:hAnsi="Times New Roman" w:cs="Times New Roman"/>
          <w:color w:val="000000"/>
          <w:sz w:val="20"/>
        </w:rPr>
        <w:t>a. Additional Background.</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Johnson received safety training to become certified in applying Ranger Pro spray. The store representative who trained him told him, </w:t>
      </w:r>
      <w:r>
        <w:rPr>
          <w:rFonts w:ascii="Times New Roman" w:hAnsi="Times New Roman" w:cs="Times New Roman"/>
          <w:color w:val="000000"/>
          <w:sz w:val="20"/>
        </w:rPr>
        <w:t>“</w:t>
      </w:r>
      <w:r>
        <w:rPr>
          <w:rFonts w:ascii="Times New Roman" w:hAnsi="Times New Roman" w:cs="Times New Roman"/>
          <w:color w:val="000000"/>
          <w:sz w:val="20"/>
        </w:rPr>
        <w:t>Oh, don</w:t>
      </w:r>
      <w:r>
        <w:rPr>
          <w:rFonts w:ascii="Times New Roman" w:hAnsi="Times New Roman" w:cs="Times New Roman"/>
          <w:color w:val="000000"/>
          <w:sz w:val="20"/>
        </w:rPr>
        <w:t>’</w:t>
      </w:r>
      <w:r>
        <w:rPr>
          <w:rFonts w:ascii="Times New Roman" w:hAnsi="Times New Roman" w:cs="Times New Roman"/>
          <w:color w:val="000000"/>
          <w:sz w:val="20"/>
        </w:rPr>
        <w:t>t worry. It</w:t>
      </w:r>
      <w:r>
        <w:rPr>
          <w:rFonts w:ascii="Times New Roman" w:hAnsi="Times New Roman" w:cs="Times New Roman"/>
          <w:color w:val="000000"/>
          <w:sz w:val="20"/>
        </w:rPr>
        <w:t>’</w:t>
      </w:r>
      <w:r>
        <w:rPr>
          <w:rFonts w:ascii="Times New Roman" w:hAnsi="Times New Roman" w:cs="Times New Roman"/>
          <w:color w:val="000000"/>
          <w:sz w:val="20"/>
        </w:rPr>
        <w:t>s safe enough to drink. But</w:t>
      </w:r>
      <w:r>
        <w:rPr>
          <w:rFonts w:ascii="Times New Roman" w:hAnsi="Times New Roman" w:cs="Times New Roman"/>
          <w:color w:val="000000"/>
          <w:sz w:val="20"/>
        </w:rPr>
        <w:t xml:space="preserve"> don</w:t>
      </w:r>
      <w:r>
        <w:rPr>
          <w:rFonts w:ascii="Times New Roman" w:hAnsi="Times New Roman" w:cs="Times New Roman"/>
          <w:color w:val="000000"/>
          <w:sz w:val="20"/>
        </w:rPr>
        <w:t>’</w:t>
      </w:r>
      <w:r>
        <w:rPr>
          <w:rFonts w:ascii="Times New Roman" w:hAnsi="Times New Roman" w:cs="Times New Roman"/>
          <w:color w:val="000000"/>
          <w:sz w:val="20"/>
        </w:rPr>
        <w:t>t drink it, you know. And, you know, be careful. It</w:t>
      </w:r>
      <w:r>
        <w:rPr>
          <w:rFonts w:ascii="Times New Roman" w:hAnsi="Times New Roman" w:cs="Times New Roman"/>
          <w:color w:val="000000"/>
          <w:sz w:val="20"/>
        </w:rPr>
        <w:t>’</w:t>
      </w:r>
      <w:r>
        <w:rPr>
          <w:rFonts w:ascii="Times New Roman" w:hAnsi="Times New Roman" w:cs="Times New Roman"/>
          <w:color w:val="000000"/>
          <w:sz w:val="20"/>
        </w:rPr>
        <w:t>s not something to play with. But you don</w:t>
      </w:r>
      <w:r>
        <w:rPr>
          <w:rFonts w:ascii="Times New Roman" w:hAnsi="Times New Roman" w:cs="Times New Roman"/>
          <w:color w:val="000000"/>
          <w:sz w:val="20"/>
        </w:rPr>
        <w:t>’</w:t>
      </w:r>
      <w:r>
        <w:rPr>
          <w:rFonts w:ascii="Times New Roman" w:hAnsi="Times New Roman" w:cs="Times New Roman"/>
          <w:color w:val="000000"/>
          <w:sz w:val="20"/>
        </w:rPr>
        <w:t>t have to worry too much about it.</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Monsanto objected to instructing the jury on the consumer-expectations test for design defect. Counsel argued there </w:t>
      </w:r>
      <w:r>
        <w:rPr>
          <w:rFonts w:ascii="Times New Roman" w:hAnsi="Times New Roman" w:cs="Times New Roman"/>
          <w:color w:val="000000"/>
          <w:sz w:val="20"/>
        </w:rPr>
        <w:t>“</w:t>
      </w:r>
      <w:r>
        <w:rPr>
          <w:rFonts w:ascii="Times New Roman" w:hAnsi="Times New Roman" w:cs="Times New Roman"/>
          <w:color w:val="000000"/>
          <w:sz w:val="20"/>
        </w:rPr>
        <w:t>wa</w:t>
      </w:r>
      <w:r>
        <w:rPr>
          <w:rFonts w:ascii="Times New Roman" w:hAnsi="Times New Roman" w:cs="Times New Roman"/>
          <w:color w:val="000000"/>
          <w:sz w:val="20"/>
        </w:rPr>
        <w:t>s no factual foundation about what an ordinary consumer would expect. There was no testimony about that from anybody.</w:t>
      </w:r>
      <w:r>
        <w:rPr>
          <w:rFonts w:ascii="Times New Roman" w:hAnsi="Times New Roman" w:cs="Times New Roman"/>
          <w:color w:val="000000"/>
          <w:sz w:val="20"/>
        </w:rPr>
        <w:t>”</w:t>
      </w:r>
      <w:r>
        <w:rPr>
          <w:rFonts w:ascii="Times New Roman" w:hAnsi="Times New Roman" w:cs="Times New Roman"/>
          <w:color w:val="000000"/>
          <w:sz w:val="20"/>
        </w:rPr>
        <w:t xml:space="preserve"> Johnson</w:t>
      </w:r>
      <w:r>
        <w:rPr>
          <w:rFonts w:ascii="Times New Roman" w:hAnsi="Times New Roman" w:cs="Times New Roman"/>
          <w:color w:val="000000"/>
          <w:sz w:val="20"/>
        </w:rPr>
        <w:t>’</w:t>
      </w:r>
      <w:r>
        <w:rPr>
          <w:rFonts w:ascii="Times New Roman" w:hAnsi="Times New Roman" w:cs="Times New Roman"/>
          <w:color w:val="000000"/>
          <w:sz w:val="20"/>
        </w:rPr>
        <w:t>s counsel countered that Johnson had testified about his expectations and that expert testimony on consumer expectations is disal</w:t>
      </w:r>
      <w:r>
        <w:rPr>
          <w:rFonts w:ascii="Times New Roman" w:hAnsi="Times New Roman" w:cs="Times New Roman"/>
          <w:color w:val="000000"/>
          <w:sz w:val="20"/>
        </w:rPr>
        <w:t xml:space="preserve">lowed when proceeding under a consumer-expectations theory. The trial court allowed the jury instruction on the consumer-expectations theory even though it thought that the evidence presented to support this theory was </w:t>
      </w:r>
      <w:r>
        <w:rPr>
          <w:rFonts w:ascii="Times New Roman" w:hAnsi="Times New Roman" w:cs="Times New Roman"/>
          <w:color w:val="000000"/>
          <w:sz w:val="20"/>
        </w:rPr>
        <w:t>“</w:t>
      </w:r>
      <w:r>
        <w:rPr>
          <w:rFonts w:ascii="Times New Roman" w:hAnsi="Times New Roman" w:cs="Times New Roman"/>
          <w:color w:val="000000"/>
          <w:sz w:val="20"/>
        </w:rPr>
        <w:t>thin.</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25" w:name="co_pp_sp_999_10_1"/>
      <w:bookmarkEnd w:id="25"/>
      <w:r>
        <w:rPr>
          <w:rFonts w:ascii="Times New Roman" w:hAnsi="Times New Roman" w:cs="Times New Roman"/>
          <w:b/>
          <w:color w:val="000000"/>
          <w:sz w:val="20"/>
        </w:rPr>
        <w:t>*10</w:t>
      </w:r>
      <w:r>
        <w:rPr>
          <w:rFonts w:ascii="Times New Roman" w:hAnsi="Times New Roman" w:cs="Times New Roman"/>
          <w:color w:val="000000"/>
          <w:sz w:val="20"/>
        </w:rPr>
        <w:t xml:space="preserve"> Jurors concluded that (1) an ordinary consumer can form reasonable minimum safety expectations about Roundup products, (2) Roundup products failed to perform as safely as an ordinary consumer would have expected when used (or misused in an inten</w:t>
      </w:r>
      <w:r>
        <w:rPr>
          <w:rFonts w:ascii="Times New Roman" w:hAnsi="Times New Roman" w:cs="Times New Roman"/>
          <w:color w:val="000000"/>
          <w:sz w:val="20"/>
        </w:rPr>
        <w:t>ded or reasonably foreseeable way), and (3) the Roundup products</w:t>
      </w:r>
      <w:r>
        <w:rPr>
          <w:rFonts w:ascii="Times New Roman" w:hAnsi="Times New Roman" w:cs="Times New Roman"/>
          <w:color w:val="000000"/>
          <w:sz w:val="20"/>
        </w:rPr>
        <w:t>’</w:t>
      </w:r>
      <w:r>
        <w:rPr>
          <w:rFonts w:ascii="Times New Roman" w:hAnsi="Times New Roman" w:cs="Times New Roman"/>
          <w:color w:val="000000"/>
          <w:sz w:val="20"/>
        </w:rPr>
        <w:t xml:space="preserve"> design was a substantial factor in causing harm to Johnson. (See </w:t>
      </w:r>
      <w:r>
        <w:rPr>
          <w:rFonts w:ascii="Times New Roman" w:hAnsi="Times New Roman" w:cs="Times New Roman"/>
          <w:color w:val="0000FF"/>
          <w:sz w:val="20"/>
        </w:rPr>
        <w:t>CACI No. 1203</w:t>
      </w:r>
      <w:r>
        <w:rPr>
          <w:rFonts w:ascii="Times New Roman" w:hAnsi="Times New Roman" w:cs="Times New Roman"/>
          <w:color w:val="000000"/>
          <w:sz w:val="20"/>
        </w:rPr>
        <w:t>.) With the exception of causation, discussed below (</w:t>
      </w:r>
      <w:r>
        <w:rPr>
          <w:rFonts w:ascii="Times New Roman" w:hAnsi="Times New Roman" w:cs="Times New Roman"/>
          <w:i/>
          <w:color w:val="000000"/>
          <w:sz w:val="20"/>
        </w:rPr>
        <w:t>post</w:t>
      </w:r>
      <w:r>
        <w:rPr>
          <w:rFonts w:ascii="Times New Roman" w:hAnsi="Times New Roman" w:cs="Times New Roman"/>
          <w:color w:val="000000"/>
          <w:sz w:val="20"/>
        </w:rPr>
        <w:t>, § II.A.3.), Monsanto does not claim that the jury</w:t>
      </w:r>
      <w:r>
        <w:rPr>
          <w:rFonts w:ascii="Times New Roman" w:hAnsi="Times New Roman" w:cs="Times New Roman"/>
          <w:color w:val="000000"/>
          <w:sz w:val="20"/>
        </w:rPr>
        <w:t>’</w:t>
      </w:r>
      <w:r>
        <w:rPr>
          <w:rFonts w:ascii="Times New Roman" w:hAnsi="Times New Roman" w:cs="Times New Roman"/>
          <w:color w:val="000000"/>
          <w:sz w:val="20"/>
        </w:rPr>
        <w:t>s f</w:t>
      </w:r>
      <w:r>
        <w:rPr>
          <w:rFonts w:ascii="Times New Roman" w:hAnsi="Times New Roman" w:cs="Times New Roman"/>
          <w:color w:val="000000"/>
          <w:sz w:val="20"/>
        </w:rPr>
        <w:t xml:space="preserve">indings were unsupported by the evidence. Instead, it argues that this theory of design defect was </w:t>
      </w:r>
      <w:r>
        <w:rPr>
          <w:rFonts w:ascii="Times New Roman" w:hAnsi="Times New Roman" w:cs="Times New Roman"/>
          <w:color w:val="000000"/>
          <w:sz w:val="20"/>
        </w:rPr>
        <w:t>“</w:t>
      </w:r>
      <w:r>
        <w:rPr>
          <w:rFonts w:ascii="Times New Roman" w:hAnsi="Times New Roman" w:cs="Times New Roman"/>
          <w:color w:val="000000"/>
          <w:sz w:val="20"/>
        </w:rPr>
        <w:t>ill-conceived</w:t>
      </w:r>
      <w:r>
        <w:rPr>
          <w:rFonts w:ascii="Times New Roman" w:hAnsi="Times New Roman" w:cs="Times New Roman"/>
          <w:color w:val="000000"/>
          <w:sz w:val="20"/>
        </w:rPr>
        <w:t>”</w:t>
      </w:r>
      <w:r>
        <w:rPr>
          <w:rFonts w:ascii="Times New Roman" w:hAnsi="Times New Roman" w:cs="Times New Roman"/>
          <w:color w:val="000000"/>
          <w:sz w:val="20"/>
        </w:rPr>
        <w:t xml:space="preserve"> and that Johnson was </w:t>
      </w:r>
      <w:r>
        <w:rPr>
          <w:rFonts w:ascii="Times New Roman" w:hAnsi="Times New Roman" w:cs="Times New Roman"/>
          <w:color w:val="000000"/>
          <w:sz w:val="20"/>
        </w:rPr>
        <w:t>“</w:t>
      </w:r>
      <w:r>
        <w:rPr>
          <w:rFonts w:ascii="Times New Roman" w:hAnsi="Times New Roman" w:cs="Times New Roman"/>
          <w:color w:val="000000"/>
          <w:sz w:val="20"/>
        </w:rPr>
        <w:t>effectively attempting to jam a round peg into a square hole.</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26" w:name="co_anchor_I2f4737b1cad611eaad728cad1da01"/>
      <w:bookmarkEnd w:id="26"/>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600" w:after="200"/>
        <w:jc w:val="center"/>
        <w:rPr>
          <w:rFonts w:ascii="Times New Roman" w:hAnsi="Times New Roman" w:cs="Times New Roman"/>
          <w:color w:val="000000"/>
          <w:sz w:val="20"/>
        </w:rPr>
      </w:pPr>
      <w:r>
        <w:rPr>
          <w:rFonts w:ascii="Times New Roman" w:hAnsi="Times New Roman" w:cs="Times New Roman"/>
          <w:color w:val="000000"/>
          <w:sz w:val="20"/>
        </w:rPr>
        <w:t>b. Analysis.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w:t>
      </w:r>
      <w:r>
        <w:rPr>
          <w:rFonts w:ascii="Times New Roman" w:hAnsi="Times New Roman" w:cs="Times New Roman"/>
          <w:color w:val="000000"/>
          <w:sz w:val="20"/>
        </w:rPr>
        <w:t>A design defect exists when the product is built in accordance with its intended specifications, but the design itself is inherently defective.</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Chavez v. Glock, Inc.</w:t>
      </w:r>
      <w:r>
        <w:rPr>
          <w:rFonts w:ascii="Times New Roman" w:hAnsi="Times New Roman" w:cs="Times New Roman"/>
          <w:color w:val="0000FF"/>
          <w:sz w:val="20"/>
        </w:rPr>
        <w:t xml:space="preserve"> (2012) 207 Cal.App.4th 1283, 130</w:t>
      </w:r>
      <w:r>
        <w:rPr>
          <w:rFonts w:ascii="Times New Roman" w:hAnsi="Times New Roman" w:cs="Times New Roman"/>
          <w:color w:val="0000FF"/>
          <w:sz w:val="20"/>
        </w:rPr>
        <w:t>3</w:t>
      </w:r>
      <w:r>
        <w:rPr>
          <w:rFonts w:ascii="Times New Roman" w:hAnsi="Times New Roman" w:cs="Times New Roman"/>
          <w:color w:val="000000"/>
          <w:sz w:val="20"/>
        </w:rPr>
        <w:t xml:space="preserve">.) A manufacturer is liable where the design of its product </w:t>
      </w:r>
      <w:r>
        <w:rPr>
          <w:rFonts w:ascii="Times New Roman" w:hAnsi="Times New Roman" w:cs="Times New Roman"/>
          <w:color w:val="000000"/>
          <w:sz w:val="20"/>
        </w:rPr>
        <w:t>“</w:t>
      </w:r>
      <w:r>
        <w:rPr>
          <w:rFonts w:ascii="Times New Roman" w:hAnsi="Times New Roman" w:cs="Times New Roman"/>
          <w:color w:val="000000"/>
          <w:sz w:val="20"/>
        </w:rPr>
        <w:t>causes injury while the product is being used in a reasonably foreseeable way.</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Soule v. General Motors Corp.</w:t>
      </w:r>
      <w:r>
        <w:rPr>
          <w:rFonts w:ascii="Times New Roman" w:hAnsi="Times New Roman" w:cs="Times New Roman"/>
          <w:color w:val="0000FF"/>
          <w:sz w:val="20"/>
        </w:rPr>
        <w:t xml:space="preserve"> (1994) 8 Cal.4th 548, 560</w:t>
      </w:r>
      <w:r>
        <w:rPr>
          <w:rFonts w:ascii="Times New Roman" w:hAnsi="Times New Roman" w:cs="Times New Roman"/>
          <w:color w:val="000000"/>
          <w:sz w:val="20"/>
        </w:rPr>
        <w:t xml:space="preserve"> (</w:t>
      </w:r>
      <w:r>
        <w:rPr>
          <w:rFonts w:ascii="Times New Roman" w:hAnsi="Times New Roman" w:cs="Times New Roman"/>
          <w:i/>
          <w:color w:val="000000"/>
          <w:sz w:val="20"/>
        </w:rPr>
        <w:t>Soule</w:t>
      </w:r>
      <w:r>
        <w:rPr>
          <w:rFonts w:ascii="Times New Roman" w:hAnsi="Times New Roman" w:cs="Times New Roman"/>
          <w:color w:val="000000"/>
          <w:sz w:val="20"/>
        </w:rPr>
        <w:t xml:space="preserve">).) Our Supreme Court has recognized two tests for </w:t>
      </w:r>
      <w:r>
        <w:rPr>
          <w:rFonts w:ascii="Times New Roman" w:hAnsi="Times New Roman" w:cs="Times New Roman"/>
          <w:color w:val="000000"/>
          <w:sz w:val="20"/>
        </w:rPr>
        <w:t>proving a design defect. (</w:t>
      </w:r>
      <w:r>
        <w:rPr>
          <w:rFonts w:ascii="Times New Roman" w:hAnsi="Times New Roman" w:cs="Times New Roman"/>
          <w:i/>
          <w:color w:val="0000FF"/>
          <w:sz w:val="20"/>
        </w:rPr>
        <w:t>McCabe v. American Honda Motor Co.</w:t>
      </w:r>
      <w:r>
        <w:rPr>
          <w:rFonts w:ascii="Times New Roman" w:hAnsi="Times New Roman" w:cs="Times New Roman"/>
          <w:color w:val="0000FF"/>
          <w:sz w:val="20"/>
        </w:rPr>
        <w:t xml:space="preserve"> (2002) 100 Cal.App.4th 1111, 1120</w:t>
      </w:r>
      <w:r>
        <w:rPr>
          <w:rFonts w:ascii="Times New Roman" w:hAnsi="Times New Roman" w:cs="Times New Roman"/>
          <w:color w:val="000000"/>
          <w:sz w:val="20"/>
        </w:rPr>
        <w:t xml:space="preserve">.) The first one, </w:t>
      </w:r>
      <w:r>
        <w:rPr>
          <w:rFonts w:ascii="Times New Roman" w:hAnsi="Times New Roman" w:cs="Times New Roman"/>
          <w:color w:val="000000"/>
          <w:sz w:val="20"/>
        </w:rPr>
        <w:t>“</w:t>
      </w:r>
      <w:r>
        <w:rPr>
          <w:rFonts w:ascii="Times New Roman" w:hAnsi="Times New Roman" w:cs="Times New Roman"/>
          <w:color w:val="000000"/>
          <w:sz w:val="20"/>
        </w:rPr>
        <w:t xml:space="preserve">[t]he </w:t>
      </w:r>
      <w:r>
        <w:rPr>
          <w:rFonts w:ascii="Times New Roman" w:hAnsi="Times New Roman" w:cs="Times New Roman"/>
          <w:color w:val="000000"/>
          <w:sz w:val="20"/>
        </w:rPr>
        <w:t>‘</w:t>
      </w:r>
      <w:r>
        <w:rPr>
          <w:rFonts w:ascii="Times New Roman" w:hAnsi="Times New Roman" w:cs="Times New Roman"/>
          <w:color w:val="000000"/>
          <w:sz w:val="20"/>
        </w:rPr>
        <w:t>consumer expectation test[,]</w:t>
      </w:r>
      <w:r>
        <w:rPr>
          <w:rFonts w:ascii="Times New Roman" w:hAnsi="Times New Roman" w:cs="Times New Roman"/>
          <w:color w:val="000000"/>
          <w:sz w:val="20"/>
        </w:rPr>
        <w:t>’</w:t>
      </w:r>
      <w:r>
        <w:rPr>
          <w:rFonts w:ascii="Times New Roman" w:hAnsi="Times New Roman" w:cs="Times New Roman"/>
          <w:color w:val="000000"/>
          <w:sz w:val="20"/>
        </w:rPr>
        <w:t xml:space="preserve"> permits a plaintiff to prove design defect by </w:t>
      </w:r>
      <w:r>
        <w:rPr>
          <w:rFonts w:ascii="Times New Roman" w:hAnsi="Times New Roman" w:cs="Times New Roman"/>
          <w:color w:val="000000"/>
          <w:sz w:val="20"/>
        </w:rPr>
        <w:lastRenderedPageBreak/>
        <w:t xml:space="preserve">demonstrating that </w:t>
      </w:r>
      <w:r>
        <w:rPr>
          <w:rFonts w:ascii="Times New Roman" w:hAnsi="Times New Roman" w:cs="Times New Roman"/>
          <w:color w:val="000000"/>
          <w:sz w:val="20"/>
        </w:rPr>
        <w:t>‘</w:t>
      </w:r>
      <w:r>
        <w:rPr>
          <w:rFonts w:ascii="Times New Roman" w:hAnsi="Times New Roman" w:cs="Times New Roman"/>
          <w:color w:val="000000"/>
          <w:sz w:val="20"/>
        </w:rPr>
        <w:t xml:space="preserve">the product failed to perform as safely </w:t>
      </w:r>
      <w:r>
        <w:rPr>
          <w:rFonts w:ascii="Times New Roman" w:hAnsi="Times New Roman" w:cs="Times New Roman"/>
          <w:color w:val="000000"/>
          <w:sz w:val="20"/>
        </w:rPr>
        <w:t>as an ordinary consumer would expect when used in an intended or reasonably foreseeable manner.</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00"/>
          <w:sz w:val="20"/>
        </w:rPr>
        <w:t>Ibid.</w:t>
      </w:r>
      <w:r>
        <w:rPr>
          <w:rFonts w:ascii="Times New Roman" w:hAnsi="Times New Roman" w:cs="Times New Roman"/>
          <w:color w:val="000000"/>
          <w:sz w:val="20"/>
        </w:rPr>
        <w:t xml:space="preserve">, quoting </w:t>
      </w:r>
      <w:r>
        <w:rPr>
          <w:rFonts w:ascii="Times New Roman" w:hAnsi="Times New Roman" w:cs="Times New Roman"/>
          <w:i/>
          <w:color w:val="0000FF"/>
          <w:sz w:val="20"/>
        </w:rPr>
        <w:t>Barker v. Lull Engineering Co.</w:t>
      </w:r>
      <w:r>
        <w:rPr>
          <w:rFonts w:ascii="Times New Roman" w:hAnsi="Times New Roman" w:cs="Times New Roman"/>
          <w:color w:val="0000FF"/>
          <w:sz w:val="20"/>
        </w:rPr>
        <w:t xml:space="preserve"> (1978) 20 Cal.3d 413, 426</w:t>
      </w:r>
      <w:r>
        <w:rPr>
          <w:rFonts w:ascii="Times New Roman" w:hAnsi="Times New Roman" w:cs="Times New Roman"/>
          <w:color w:val="0000FF"/>
          <w:sz w:val="20"/>
        </w:rPr>
        <w:t>–</w:t>
      </w:r>
      <w:r>
        <w:rPr>
          <w:rFonts w:ascii="Times New Roman" w:hAnsi="Times New Roman" w:cs="Times New Roman"/>
          <w:color w:val="0000FF"/>
          <w:sz w:val="20"/>
        </w:rPr>
        <w:t>427</w:t>
      </w:r>
      <w:r>
        <w:rPr>
          <w:rFonts w:ascii="Times New Roman" w:hAnsi="Times New Roman" w:cs="Times New Roman"/>
          <w:color w:val="000000"/>
          <w:sz w:val="20"/>
        </w:rPr>
        <w:t xml:space="preserve">.) The test is </w:t>
      </w:r>
      <w:r>
        <w:rPr>
          <w:rFonts w:ascii="Times New Roman" w:hAnsi="Times New Roman" w:cs="Times New Roman"/>
          <w:color w:val="000000"/>
          <w:sz w:val="20"/>
        </w:rPr>
        <w:t>“</w:t>
      </w:r>
      <w:r>
        <w:rPr>
          <w:rFonts w:ascii="Times New Roman" w:hAnsi="Times New Roman" w:cs="Times New Roman"/>
          <w:color w:val="000000"/>
          <w:sz w:val="20"/>
        </w:rPr>
        <w:t xml:space="preserve">rooted in theories of warranty [and] recognizes that implicit in </w:t>
      </w:r>
      <w:r>
        <w:rPr>
          <w:rFonts w:ascii="Times New Roman" w:hAnsi="Times New Roman" w:cs="Times New Roman"/>
          <w:color w:val="000000"/>
          <w:sz w:val="20"/>
        </w:rPr>
        <w:t>a product</w:t>
      </w:r>
      <w:r>
        <w:rPr>
          <w:rFonts w:ascii="Times New Roman" w:hAnsi="Times New Roman" w:cs="Times New Roman"/>
          <w:color w:val="000000"/>
          <w:sz w:val="20"/>
        </w:rPr>
        <w:t>’</w:t>
      </w:r>
      <w:r>
        <w:rPr>
          <w:rFonts w:ascii="Times New Roman" w:hAnsi="Times New Roman" w:cs="Times New Roman"/>
          <w:color w:val="000000"/>
          <w:sz w:val="20"/>
        </w:rPr>
        <w:t>s presence on the market is a representation that it is fit to do safely the job for which it was intended.</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00"/>
          <w:sz w:val="20"/>
        </w:rPr>
        <w:t>McCabe</w:t>
      </w:r>
      <w:r>
        <w:rPr>
          <w:rFonts w:ascii="Times New Roman" w:hAnsi="Times New Roman" w:cs="Times New Roman"/>
          <w:color w:val="000000"/>
          <w:sz w:val="20"/>
        </w:rPr>
        <w:t xml:space="preserve">, at p. 1120.) </w:t>
      </w:r>
      <w:r>
        <w:rPr>
          <w:rFonts w:ascii="Times New Roman" w:hAnsi="Times New Roman" w:cs="Times New Roman"/>
          <w:color w:val="000000"/>
          <w:sz w:val="20"/>
        </w:rPr>
        <w:t>“</w:t>
      </w:r>
      <w:r>
        <w:rPr>
          <w:rFonts w:ascii="Times New Roman" w:hAnsi="Times New Roman" w:cs="Times New Roman"/>
          <w:color w:val="000000"/>
          <w:sz w:val="20"/>
        </w:rPr>
        <w:t>The purposes, behaviors, and dangers of certain products are commonly understood by those who ordinarily use them.</w:t>
      </w:r>
      <w:r>
        <w:rPr>
          <w:rFonts w:ascii="Times New Roman" w:hAnsi="Times New Roman" w:cs="Times New Roman"/>
          <w:color w:val="000000"/>
          <w:sz w:val="20"/>
        </w:rPr>
        <w:t xml:space="preserve"> By the same token, the ordinary users or consumers of a product may have reasonable, widely accepted minimum expectations about the circumstances under which it should perform safely. Consumers govern their own conduct by these expectations, and products </w:t>
      </w:r>
      <w:r>
        <w:rPr>
          <w:rFonts w:ascii="Times New Roman" w:hAnsi="Times New Roman" w:cs="Times New Roman"/>
          <w:color w:val="000000"/>
          <w:sz w:val="20"/>
        </w:rPr>
        <w:t>on the market should conform to them.</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00"/>
          <w:sz w:val="20"/>
        </w:rPr>
        <w:t>Soule</w:t>
      </w:r>
      <w:r>
        <w:rPr>
          <w:rFonts w:ascii="Times New Roman" w:hAnsi="Times New Roman" w:cs="Times New Roman"/>
          <w:color w:val="000000"/>
          <w:sz w:val="20"/>
        </w:rPr>
        <w:t>, at p. 566.)</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The second test for proving a design defect is the </w:t>
      </w:r>
      <w:r>
        <w:rPr>
          <w:rFonts w:ascii="Times New Roman" w:hAnsi="Times New Roman" w:cs="Times New Roman"/>
          <w:color w:val="000000"/>
          <w:sz w:val="20"/>
        </w:rPr>
        <w:t>“</w:t>
      </w:r>
      <w:r>
        <w:rPr>
          <w:rFonts w:ascii="Times New Roman" w:hAnsi="Times New Roman" w:cs="Times New Roman"/>
          <w:color w:val="000000"/>
          <w:sz w:val="20"/>
        </w:rPr>
        <w:t>risk-benefit test,</w:t>
      </w:r>
      <w:r>
        <w:rPr>
          <w:rFonts w:ascii="Times New Roman" w:hAnsi="Times New Roman" w:cs="Times New Roman"/>
          <w:color w:val="000000"/>
          <w:sz w:val="20"/>
        </w:rPr>
        <w:t>”</w:t>
      </w:r>
      <w:r>
        <w:rPr>
          <w:rFonts w:ascii="Times New Roman" w:hAnsi="Times New Roman" w:cs="Times New Roman"/>
          <w:color w:val="000000"/>
          <w:sz w:val="20"/>
        </w:rPr>
        <w:t xml:space="preserve"> under which a product that meets consumer expectations is nonetheless defective if the design includes an excessive prevent</w:t>
      </w:r>
      <w:r>
        <w:rPr>
          <w:rFonts w:ascii="Times New Roman" w:hAnsi="Times New Roman" w:cs="Times New Roman"/>
          <w:color w:val="000000"/>
          <w:sz w:val="20"/>
        </w:rPr>
        <w:t>able danger. (</w:t>
      </w:r>
      <w:r>
        <w:rPr>
          <w:rFonts w:ascii="Times New Roman" w:hAnsi="Times New Roman" w:cs="Times New Roman"/>
          <w:i/>
          <w:color w:val="0000FF"/>
          <w:sz w:val="20"/>
        </w:rPr>
        <w:t>McCabe v. American Honda Motor Co.</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100 Cal.App.4th at pp. 1120</w:t>
      </w:r>
      <w:r>
        <w:rPr>
          <w:rFonts w:ascii="Times New Roman" w:hAnsi="Times New Roman" w:cs="Times New Roman"/>
          <w:color w:val="0000FF"/>
          <w:sz w:val="20"/>
        </w:rPr>
        <w:t>–</w:t>
      </w:r>
      <w:r>
        <w:rPr>
          <w:rFonts w:ascii="Times New Roman" w:hAnsi="Times New Roman" w:cs="Times New Roman"/>
          <w:color w:val="0000FF"/>
          <w:sz w:val="20"/>
        </w:rPr>
        <w:t>1121</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The consumer expectations test is not suitable in all cases. It is reserved for those cases where </w:t>
      </w:r>
      <w:r>
        <w:rPr>
          <w:rFonts w:ascii="Times New Roman" w:hAnsi="Times New Roman" w:cs="Times New Roman"/>
          <w:color w:val="000000"/>
          <w:sz w:val="20"/>
        </w:rPr>
        <w:t>‘</w:t>
      </w:r>
      <w:r>
        <w:rPr>
          <w:rFonts w:ascii="Times New Roman" w:hAnsi="Times New Roman" w:cs="Times New Roman"/>
          <w:color w:val="000000"/>
          <w:sz w:val="20"/>
        </w:rPr>
        <w:t>the circumstances of the product</w:t>
      </w:r>
      <w:r>
        <w:rPr>
          <w:rFonts w:ascii="Times New Roman" w:hAnsi="Times New Roman" w:cs="Times New Roman"/>
          <w:color w:val="000000"/>
          <w:sz w:val="20"/>
        </w:rPr>
        <w:t>’</w:t>
      </w:r>
      <w:r>
        <w:rPr>
          <w:rFonts w:ascii="Times New Roman" w:hAnsi="Times New Roman" w:cs="Times New Roman"/>
          <w:color w:val="000000"/>
          <w:sz w:val="20"/>
        </w:rPr>
        <w:t>s failure permit an inference t</w:t>
      </w:r>
      <w:r>
        <w:rPr>
          <w:rFonts w:ascii="Times New Roman" w:hAnsi="Times New Roman" w:cs="Times New Roman"/>
          <w:color w:val="000000"/>
          <w:sz w:val="20"/>
        </w:rPr>
        <w:t>hat the product</w:t>
      </w:r>
      <w:r>
        <w:rPr>
          <w:rFonts w:ascii="Times New Roman" w:hAnsi="Times New Roman" w:cs="Times New Roman"/>
          <w:color w:val="000000"/>
          <w:sz w:val="20"/>
        </w:rPr>
        <w:t>’</w:t>
      </w:r>
      <w:r>
        <w:rPr>
          <w:rFonts w:ascii="Times New Roman" w:hAnsi="Times New Roman" w:cs="Times New Roman"/>
          <w:color w:val="000000"/>
          <w:sz w:val="20"/>
        </w:rPr>
        <w:t>s design performed below the legitimate, commonly accepted minimum safety assumptions of its ordinary consumers.</w:t>
      </w:r>
      <w:r>
        <w:rPr>
          <w:rFonts w:ascii="Times New Roman" w:hAnsi="Times New Roman" w:cs="Times New Roman"/>
          <w:color w:val="000000"/>
          <w:sz w:val="20"/>
        </w:rPr>
        <w:t>’</w:t>
      </w:r>
      <w:r>
        <w:rPr>
          <w:rFonts w:ascii="Times New Roman" w:hAnsi="Times New Roman" w:cs="Times New Roman"/>
          <w:color w:val="000000"/>
          <w:sz w:val="20"/>
        </w:rPr>
        <w:t xml:space="preserve"> [Citation.] If the facts do not permit such an inference, the risk-benefit test must be used.</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Johnson v. United States Steel</w:t>
      </w:r>
      <w:r>
        <w:rPr>
          <w:rFonts w:ascii="Times New Roman" w:hAnsi="Times New Roman" w:cs="Times New Roman"/>
          <w:i/>
          <w:color w:val="0000FF"/>
          <w:sz w:val="20"/>
        </w:rPr>
        <w:t xml:space="preserve"> Corp.</w:t>
      </w:r>
      <w:r>
        <w:rPr>
          <w:rFonts w:ascii="Times New Roman" w:hAnsi="Times New Roman" w:cs="Times New Roman"/>
          <w:color w:val="0000FF"/>
          <w:sz w:val="20"/>
        </w:rPr>
        <w:t xml:space="preserve"> (2015) 240 Cal.App.4th 22, 32</w:t>
      </w:r>
      <w:r>
        <w:rPr>
          <w:rFonts w:ascii="Times New Roman" w:hAnsi="Times New Roman" w:cs="Times New Roman"/>
          <w:color w:val="0000FF"/>
          <w:sz w:val="20"/>
        </w:rPr>
        <w:t>–</w:t>
      </w:r>
      <w:r>
        <w:rPr>
          <w:rFonts w:ascii="Times New Roman" w:hAnsi="Times New Roman" w:cs="Times New Roman"/>
          <w:color w:val="0000FF"/>
          <w:sz w:val="20"/>
        </w:rPr>
        <w:t>33</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Monsanto argues that the proper test to have been used in this case was the risk-benefit test, but it fails to point to anywhere in the record where it requested instructions on this test. It also does not cite t</w:t>
      </w:r>
      <w:r>
        <w:rPr>
          <w:rFonts w:ascii="Times New Roman" w:hAnsi="Times New Roman" w:cs="Times New Roman"/>
          <w:color w:val="000000"/>
          <w:sz w:val="20"/>
        </w:rPr>
        <w:t>o evidence in the record supporting the elements required to establish a defense under the test, i.e., that (1) a safer alternative design of Roundup products was infeasible, (2) the cost of a different design would have been prohibitive, or (3) any differ</w:t>
      </w:r>
      <w:r>
        <w:rPr>
          <w:rFonts w:ascii="Times New Roman" w:hAnsi="Times New Roman" w:cs="Times New Roman"/>
          <w:color w:val="000000"/>
          <w:sz w:val="20"/>
        </w:rPr>
        <w:t>ent design of Roundup products would have been more dangerous to the consumer. (</w:t>
      </w:r>
      <w:r>
        <w:rPr>
          <w:rFonts w:ascii="Times New Roman" w:hAnsi="Times New Roman" w:cs="Times New Roman"/>
          <w:i/>
          <w:color w:val="0000FF"/>
          <w:sz w:val="20"/>
        </w:rPr>
        <w:t>West v. Johnson &amp; Johnson Products, Inc.</w:t>
      </w:r>
      <w:r>
        <w:rPr>
          <w:rFonts w:ascii="Times New Roman" w:hAnsi="Times New Roman" w:cs="Times New Roman"/>
          <w:color w:val="0000FF"/>
          <w:sz w:val="20"/>
        </w:rPr>
        <w:t xml:space="preserve"> (1985) 174 Cal.App.3d 831, 864</w:t>
      </w:r>
      <w:r>
        <w:rPr>
          <w:rFonts w:ascii="Times New Roman" w:hAnsi="Times New Roman" w:cs="Times New Roman"/>
          <w:color w:val="000000"/>
          <w:sz w:val="20"/>
        </w:rPr>
        <w:t xml:space="preserve">.) It simply maintains that the consumer-expectations test </w:t>
      </w:r>
      <w:r>
        <w:rPr>
          <w:rFonts w:ascii="Times New Roman" w:hAnsi="Times New Roman" w:cs="Times New Roman"/>
          <w:color w:val="000000"/>
          <w:sz w:val="20"/>
        </w:rPr>
        <w:t>“</w:t>
      </w:r>
      <w:r>
        <w:rPr>
          <w:rFonts w:ascii="Times New Roman" w:hAnsi="Times New Roman" w:cs="Times New Roman"/>
          <w:color w:val="000000"/>
          <w:sz w:val="20"/>
        </w:rPr>
        <w:t>does not apply as a matter of law.</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27" w:name="co_pp_sp_999_11_1"/>
      <w:bookmarkEnd w:id="27"/>
      <w:r>
        <w:rPr>
          <w:rFonts w:ascii="Times New Roman" w:hAnsi="Times New Roman" w:cs="Times New Roman"/>
          <w:b/>
          <w:color w:val="000000"/>
          <w:sz w:val="20"/>
        </w:rPr>
        <w:t>*11</w:t>
      </w:r>
      <w:r>
        <w:rPr>
          <w:rFonts w:ascii="Times New Roman" w:hAnsi="Times New Roman" w:cs="Times New Roman"/>
          <w:color w:val="000000"/>
          <w:sz w:val="20"/>
        </w:rPr>
        <w:t xml:space="preserve"> Even setting aside these briefing deficiencies, we are unpersuaded by Monsanto</w:t>
      </w:r>
      <w:r>
        <w:rPr>
          <w:rFonts w:ascii="Times New Roman" w:hAnsi="Times New Roman" w:cs="Times New Roman"/>
          <w:color w:val="000000"/>
          <w:sz w:val="20"/>
        </w:rPr>
        <w:t>’</w:t>
      </w:r>
      <w:r>
        <w:rPr>
          <w:rFonts w:ascii="Times New Roman" w:hAnsi="Times New Roman" w:cs="Times New Roman"/>
          <w:color w:val="000000"/>
          <w:sz w:val="20"/>
        </w:rPr>
        <w:t>s substantive argument that it could not be found liable under the consumer-expectations test because Johnson relied on the testimony of several e</w:t>
      </w:r>
      <w:r>
        <w:rPr>
          <w:rFonts w:ascii="Times New Roman" w:hAnsi="Times New Roman" w:cs="Times New Roman"/>
          <w:color w:val="000000"/>
          <w:sz w:val="20"/>
        </w:rPr>
        <w:t xml:space="preserve">xperts. True, </w:t>
      </w:r>
      <w:r>
        <w:rPr>
          <w:rFonts w:ascii="Times New Roman" w:hAnsi="Times New Roman" w:cs="Times New Roman"/>
          <w:color w:val="000000"/>
          <w:sz w:val="20"/>
        </w:rPr>
        <w:t>“</w:t>
      </w:r>
      <w:r>
        <w:rPr>
          <w:rFonts w:ascii="Times New Roman" w:hAnsi="Times New Roman" w:cs="Times New Roman"/>
          <w:color w:val="000000"/>
          <w:sz w:val="20"/>
        </w:rPr>
        <w:t xml:space="preserve">the consumer expectations test is reserved for cases in which the </w:t>
      </w:r>
      <w:r>
        <w:rPr>
          <w:rFonts w:ascii="Times New Roman" w:hAnsi="Times New Roman" w:cs="Times New Roman"/>
          <w:i/>
          <w:color w:val="000000"/>
          <w:sz w:val="20"/>
        </w:rPr>
        <w:t>everyday experience</w:t>
      </w:r>
      <w:r>
        <w:rPr>
          <w:rFonts w:ascii="Times New Roman" w:hAnsi="Times New Roman" w:cs="Times New Roman"/>
          <w:color w:val="000000"/>
          <w:sz w:val="20"/>
        </w:rPr>
        <w:t xml:space="preserve"> of the product</w:t>
      </w:r>
      <w:r>
        <w:rPr>
          <w:rFonts w:ascii="Times New Roman" w:hAnsi="Times New Roman" w:cs="Times New Roman"/>
          <w:color w:val="000000"/>
          <w:sz w:val="20"/>
        </w:rPr>
        <w:t>’</w:t>
      </w:r>
      <w:r>
        <w:rPr>
          <w:rFonts w:ascii="Times New Roman" w:hAnsi="Times New Roman" w:cs="Times New Roman"/>
          <w:color w:val="000000"/>
          <w:sz w:val="20"/>
        </w:rPr>
        <w:t>s users permits a conclusion that the product</w:t>
      </w:r>
      <w:r>
        <w:rPr>
          <w:rFonts w:ascii="Times New Roman" w:hAnsi="Times New Roman" w:cs="Times New Roman"/>
          <w:color w:val="000000"/>
          <w:sz w:val="20"/>
        </w:rPr>
        <w:t>’</w:t>
      </w:r>
      <w:r>
        <w:rPr>
          <w:rFonts w:ascii="Times New Roman" w:hAnsi="Times New Roman" w:cs="Times New Roman"/>
          <w:color w:val="000000"/>
          <w:sz w:val="20"/>
        </w:rPr>
        <w:t xml:space="preserve">s design violated </w:t>
      </w:r>
      <w:r>
        <w:rPr>
          <w:rFonts w:ascii="Times New Roman" w:hAnsi="Times New Roman" w:cs="Times New Roman"/>
          <w:i/>
          <w:color w:val="000000"/>
          <w:sz w:val="20"/>
        </w:rPr>
        <w:t>minimum</w:t>
      </w:r>
      <w:r>
        <w:rPr>
          <w:rFonts w:ascii="Times New Roman" w:hAnsi="Times New Roman" w:cs="Times New Roman"/>
          <w:color w:val="000000"/>
          <w:sz w:val="20"/>
        </w:rPr>
        <w:t xml:space="preserve"> safety assumptions, and is thus defective </w:t>
      </w:r>
      <w:r>
        <w:rPr>
          <w:rFonts w:ascii="Times New Roman" w:hAnsi="Times New Roman" w:cs="Times New Roman"/>
          <w:i/>
          <w:color w:val="000000"/>
          <w:sz w:val="20"/>
        </w:rPr>
        <w:t xml:space="preserve">regardless of </w:t>
      </w:r>
      <w:r>
        <w:rPr>
          <w:rFonts w:ascii="Times New Roman" w:hAnsi="Times New Roman" w:cs="Times New Roman"/>
          <w:i/>
          <w:color w:val="000000"/>
          <w:sz w:val="20"/>
        </w:rPr>
        <w:t>expert opini</w:t>
      </w:r>
      <w:r>
        <w:rPr>
          <w:rFonts w:ascii="Times New Roman" w:hAnsi="Times New Roman" w:cs="Times New Roman"/>
          <w:i/>
          <w:color w:val="000000"/>
          <w:sz w:val="20"/>
        </w:rPr>
        <w:t>on about the merits of the design</w:t>
      </w:r>
      <w:r>
        <w:rPr>
          <w:rFonts w:ascii="Times New Roman" w:hAnsi="Times New Roman" w:cs="Times New Roman"/>
          <w:color w:val="000000"/>
          <w:sz w:val="20"/>
        </w:rPr>
        <w:t>. It follows that where the minimum safety of a product is within the common knowledge of lay jurors, expert witnesses may not be used to demonstrate what an ordinary consumer would or should expect. Use of expert testimony</w:t>
      </w:r>
      <w:r>
        <w:rPr>
          <w:rFonts w:ascii="Times New Roman" w:hAnsi="Times New Roman" w:cs="Times New Roman"/>
          <w:color w:val="000000"/>
          <w:sz w:val="20"/>
        </w:rPr>
        <w:t xml:space="preserve"> for that purpose would invade the jury</w:t>
      </w:r>
      <w:r>
        <w:rPr>
          <w:rFonts w:ascii="Times New Roman" w:hAnsi="Times New Roman" w:cs="Times New Roman"/>
          <w:color w:val="000000"/>
          <w:sz w:val="20"/>
        </w:rPr>
        <w:t>’</w:t>
      </w:r>
      <w:r>
        <w:rPr>
          <w:rFonts w:ascii="Times New Roman" w:hAnsi="Times New Roman" w:cs="Times New Roman"/>
          <w:color w:val="000000"/>
          <w:sz w:val="20"/>
        </w:rPr>
        <w:t xml:space="preserve">s function (see </w:t>
      </w:r>
      <w:r>
        <w:rPr>
          <w:rFonts w:ascii="Times New Roman" w:hAnsi="Times New Roman" w:cs="Times New Roman"/>
          <w:color w:val="0000FF"/>
          <w:sz w:val="20"/>
        </w:rPr>
        <w:t>Evid. Code, § 801, subd. (a)</w:t>
      </w:r>
      <w:r>
        <w:rPr>
          <w:rFonts w:ascii="Times New Roman" w:hAnsi="Times New Roman" w:cs="Times New Roman"/>
          <w:color w:val="000000"/>
          <w:sz w:val="20"/>
        </w:rPr>
        <w:t xml:space="preserve">), and would invite circumvention of the rule that the risks and benefits of a challenged design must be carefully balanced whenever the issue of design defect goes beyond </w:t>
      </w:r>
      <w:r>
        <w:rPr>
          <w:rFonts w:ascii="Times New Roman" w:hAnsi="Times New Roman" w:cs="Times New Roman"/>
          <w:color w:val="000000"/>
          <w:sz w:val="20"/>
        </w:rPr>
        <w:t>the common experience of the product</w:t>
      </w:r>
      <w:r>
        <w:rPr>
          <w:rFonts w:ascii="Times New Roman" w:hAnsi="Times New Roman" w:cs="Times New Roman"/>
          <w:color w:val="000000"/>
          <w:sz w:val="20"/>
        </w:rPr>
        <w:t>’</w:t>
      </w:r>
      <w:r>
        <w:rPr>
          <w:rFonts w:ascii="Times New Roman" w:hAnsi="Times New Roman" w:cs="Times New Roman"/>
          <w:color w:val="000000"/>
          <w:sz w:val="20"/>
        </w:rPr>
        <w:t>s users.</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Soule</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8 Cal.4th at p. 567</w:t>
      </w:r>
      <w:r>
        <w:rPr>
          <w:rFonts w:ascii="Times New Roman" w:hAnsi="Times New Roman" w:cs="Times New Roman"/>
          <w:color w:val="000000"/>
          <w:sz w:val="20"/>
        </w:rPr>
        <w:t xml:space="preserve">, fn. omitted.) Although knowing when the consumer-expectations test applies is not always obvious, </w:t>
      </w:r>
      <w:r>
        <w:rPr>
          <w:rFonts w:ascii="Times New Roman" w:hAnsi="Times New Roman" w:cs="Times New Roman"/>
          <w:color w:val="000000"/>
          <w:sz w:val="20"/>
        </w:rPr>
        <w:t>“</w:t>
      </w:r>
      <w:r>
        <w:rPr>
          <w:rFonts w:ascii="Times New Roman" w:hAnsi="Times New Roman" w:cs="Times New Roman"/>
          <w:color w:val="000000"/>
          <w:sz w:val="20"/>
        </w:rPr>
        <w:t>[t]he crucial question in each individual case is whether the circumstance</w:t>
      </w:r>
      <w:r>
        <w:rPr>
          <w:rFonts w:ascii="Times New Roman" w:hAnsi="Times New Roman" w:cs="Times New Roman"/>
          <w:color w:val="000000"/>
          <w:sz w:val="20"/>
        </w:rPr>
        <w:t>s of the product</w:t>
      </w:r>
      <w:r>
        <w:rPr>
          <w:rFonts w:ascii="Times New Roman" w:hAnsi="Times New Roman" w:cs="Times New Roman"/>
          <w:color w:val="000000"/>
          <w:sz w:val="20"/>
        </w:rPr>
        <w:t>’</w:t>
      </w:r>
      <w:r>
        <w:rPr>
          <w:rFonts w:ascii="Times New Roman" w:hAnsi="Times New Roman" w:cs="Times New Roman"/>
          <w:color w:val="000000"/>
          <w:sz w:val="20"/>
        </w:rPr>
        <w:t>s failure permit an inference that the product</w:t>
      </w:r>
      <w:r>
        <w:rPr>
          <w:rFonts w:ascii="Times New Roman" w:hAnsi="Times New Roman" w:cs="Times New Roman"/>
          <w:color w:val="000000"/>
          <w:sz w:val="20"/>
        </w:rPr>
        <w:t>’</w:t>
      </w:r>
      <w:r>
        <w:rPr>
          <w:rFonts w:ascii="Times New Roman" w:hAnsi="Times New Roman" w:cs="Times New Roman"/>
          <w:color w:val="000000"/>
          <w:sz w:val="20"/>
        </w:rPr>
        <w:t>s design performed below the legitimate, commonly accepted minimum safety assumptions of its ordinary consumers.</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Id.</w:t>
      </w:r>
      <w:r>
        <w:rPr>
          <w:rFonts w:ascii="Times New Roman" w:hAnsi="Times New Roman" w:cs="Times New Roman"/>
          <w:color w:val="0000FF"/>
          <w:sz w:val="20"/>
        </w:rPr>
        <w:t xml:space="preserve"> at pp. 568</w:t>
      </w:r>
      <w:r>
        <w:rPr>
          <w:rFonts w:ascii="Times New Roman" w:hAnsi="Times New Roman" w:cs="Times New Roman"/>
          <w:color w:val="0000FF"/>
          <w:sz w:val="20"/>
        </w:rPr>
        <w:t>–</w:t>
      </w:r>
      <w:r>
        <w:rPr>
          <w:rFonts w:ascii="Times New Roman" w:hAnsi="Times New Roman" w:cs="Times New Roman"/>
          <w:color w:val="0000FF"/>
          <w:sz w:val="20"/>
        </w:rPr>
        <w:t xml:space="preserve">569, fn. </w:t>
      </w:r>
      <w:r>
        <w:rPr>
          <w:rFonts w:ascii="Times New Roman" w:hAnsi="Times New Roman" w:cs="Times New Roman"/>
          <w:color w:val="000000"/>
          <w:sz w:val="20"/>
        </w:rPr>
        <w:t xml:space="preserve">omitted.) Stated differently, </w:t>
      </w:r>
      <w:r>
        <w:rPr>
          <w:rFonts w:ascii="Times New Roman" w:hAnsi="Times New Roman" w:cs="Times New Roman"/>
          <w:color w:val="000000"/>
          <w:sz w:val="20"/>
        </w:rPr>
        <w:t>“</w:t>
      </w:r>
      <w:r>
        <w:rPr>
          <w:rFonts w:ascii="Times New Roman" w:hAnsi="Times New Roman" w:cs="Times New Roman"/>
          <w:color w:val="000000"/>
          <w:sz w:val="20"/>
        </w:rPr>
        <w:t>the consumer expectati</w:t>
      </w:r>
      <w:r>
        <w:rPr>
          <w:rFonts w:ascii="Times New Roman" w:hAnsi="Times New Roman" w:cs="Times New Roman"/>
          <w:color w:val="000000"/>
          <w:sz w:val="20"/>
        </w:rPr>
        <w:t>ons test is appropriate only when the jury, fully apprised of the circumstances of the accident or injury, may conclude that the product</w:t>
      </w:r>
      <w:r>
        <w:rPr>
          <w:rFonts w:ascii="Times New Roman" w:hAnsi="Times New Roman" w:cs="Times New Roman"/>
          <w:color w:val="000000"/>
          <w:sz w:val="20"/>
        </w:rPr>
        <w:t>’</w:t>
      </w:r>
      <w:r>
        <w:rPr>
          <w:rFonts w:ascii="Times New Roman" w:hAnsi="Times New Roman" w:cs="Times New Roman"/>
          <w:color w:val="000000"/>
          <w:sz w:val="20"/>
        </w:rPr>
        <w:t>s design failed to perform as safely as the product</w:t>
      </w:r>
      <w:r>
        <w:rPr>
          <w:rFonts w:ascii="Times New Roman" w:hAnsi="Times New Roman" w:cs="Times New Roman"/>
          <w:color w:val="000000"/>
          <w:sz w:val="20"/>
        </w:rPr>
        <w:t>’</w:t>
      </w:r>
      <w:r>
        <w:rPr>
          <w:rFonts w:ascii="Times New Roman" w:hAnsi="Times New Roman" w:cs="Times New Roman"/>
          <w:color w:val="000000"/>
          <w:sz w:val="20"/>
        </w:rPr>
        <w:t>s ordinary consumers would expect.</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Id.</w:t>
      </w:r>
      <w:r>
        <w:rPr>
          <w:rFonts w:ascii="Times New Roman" w:hAnsi="Times New Roman" w:cs="Times New Roman"/>
          <w:color w:val="0000FF"/>
          <w:sz w:val="20"/>
        </w:rPr>
        <w:t xml:space="preserve"> at p. 569, fn. 6</w:t>
      </w:r>
      <w:r>
        <w:rPr>
          <w:rFonts w:ascii="Times New Roman" w:hAnsi="Times New Roman" w:cs="Times New Roman"/>
          <w:color w:val="000000"/>
          <w:sz w:val="20"/>
        </w:rPr>
        <w:t>.) The que</w:t>
      </w:r>
      <w:r>
        <w:rPr>
          <w:rFonts w:ascii="Times New Roman" w:hAnsi="Times New Roman" w:cs="Times New Roman"/>
          <w:color w:val="000000"/>
          <w:sz w:val="20"/>
        </w:rPr>
        <w:t xml:space="preserve">stion we ask is, </w:t>
      </w:r>
      <w:r>
        <w:rPr>
          <w:rFonts w:ascii="Times New Roman" w:hAnsi="Times New Roman" w:cs="Times New Roman"/>
          <w:color w:val="000000"/>
          <w:sz w:val="20"/>
        </w:rPr>
        <w:t>“</w:t>
      </w:r>
      <w:r>
        <w:rPr>
          <w:rFonts w:ascii="Times New Roman" w:hAnsi="Times New Roman" w:cs="Times New Roman"/>
          <w:color w:val="000000"/>
          <w:sz w:val="20"/>
        </w:rPr>
        <w:t>Is the alleged defect readily apparent to the common reason, experience, and understanding of the product</w:t>
      </w:r>
      <w:r>
        <w:rPr>
          <w:rFonts w:ascii="Times New Roman" w:hAnsi="Times New Roman" w:cs="Times New Roman"/>
          <w:color w:val="000000"/>
          <w:sz w:val="20"/>
        </w:rPr>
        <w:t>’</w:t>
      </w:r>
      <w:r>
        <w:rPr>
          <w:rFonts w:ascii="Times New Roman" w:hAnsi="Times New Roman" w:cs="Times New Roman"/>
          <w:color w:val="000000"/>
          <w:sz w:val="20"/>
        </w:rPr>
        <w:t>s ordinary consumers?</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Morson v. Superior Court</w:t>
      </w:r>
      <w:r>
        <w:rPr>
          <w:rFonts w:ascii="Times New Roman" w:hAnsi="Times New Roman" w:cs="Times New Roman"/>
          <w:color w:val="0000FF"/>
          <w:sz w:val="20"/>
        </w:rPr>
        <w:t xml:space="preserve"> (2001) 90 Cal.App.4th 775, 791</w:t>
      </w:r>
      <w:r>
        <w:rPr>
          <w:rFonts w:ascii="Times New Roman" w:hAnsi="Times New Roman" w:cs="Times New Roman"/>
          <w:color w:val="000000"/>
          <w:sz w:val="20"/>
        </w:rPr>
        <w:t>.) We conclude, consistent with the jury</w:t>
      </w:r>
      <w:r>
        <w:rPr>
          <w:rFonts w:ascii="Times New Roman" w:hAnsi="Times New Roman" w:cs="Times New Roman"/>
          <w:color w:val="000000"/>
          <w:sz w:val="20"/>
        </w:rPr>
        <w:t>’</w:t>
      </w:r>
      <w:r>
        <w:rPr>
          <w:rFonts w:ascii="Times New Roman" w:hAnsi="Times New Roman" w:cs="Times New Roman"/>
          <w:color w:val="000000"/>
          <w:sz w:val="20"/>
        </w:rPr>
        <w:t>s verdict, t</w:t>
      </w:r>
      <w:r>
        <w:rPr>
          <w:rFonts w:ascii="Times New Roman" w:hAnsi="Times New Roman" w:cs="Times New Roman"/>
          <w:color w:val="000000"/>
          <w:sz w:val="20"/>
        </w:rPr>
        <w:t>hat it is.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Application of the consumer-expectations test is not precluded when expert testimony is presented, as it was here, for an issue other than the expectation of a reasonable consumer. (</w:t>
      </w:r>
      <w:r>
        <w:rPr>
          <w:rFonts w:ascii="Times New Roman" w:hAnsi="Times New Roman" w:cs="Times New Roman"/>
          <w:i/>
          <w:color w:val="0000FF"/>
          <w:sz w:val="20"/>
        </w:rPr>
        <w:t>Soule</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8 Cal.4th at p. 569, fn. 6</w:t>
      </w:r>
      <w:r>
        <w:rPr>
          <w:rFonts w:ascii="Times New Roman" w:hAnsi="Times New Roman" w:cs="Times New Roman"/>
          <w:color w:val="000000"/>
          <w:sz w:val="20"/>
        </w:rPr>
        <w:t>.) As one court has p</w:t>
      </w:r>
      <w:r>
        <w:rPr>
          <w:rFonts w:ascii="Times New Roman" w:hAnsi="Times New Roman" w:cs="Times New Roman"/>
          <w:color w:val="000000"/>
          <w:sz w:val="20"/>
        </w:rPr>
        <w:t xml:space="preserve">ut it, </w:t>
      </w:r>
      <w:r>
        <w:rPr>
          <w:rFonts w:ascii="Times New Roman" w:hAnsi="Times New Roman" w:cs="Times New Roman"/>
          <w:color w:val="000000"/>
          <w:sz w:val="20"/>
        </w:rPr>
        <w:t>“</w:t>
      </w:r>
      <w:r>
        <w:rPr>
          <w:rFonts w:ascii="Times New Roman" w:hAnsi="Times New Roman" w:cs="Times New Roman"/>
          <w:color w:val="000000"/>
          <w:sz w:val="20"/>
        </w:rPr>
        <w:t xml:space="preserve">Under </w:t>
      </w:r>
      <w:r>
        <w:rPr>
          <w:rFonts w:ascii="Times New Roman" w:hAnsi="Times New Roman" w:cs="Times New Roman"/>
          <w:i/>
          <w:color w:val="000000"/>
          <w:sz w:val="20"/>
        </w:rPr>
        <w:t>Soule</w:t>
      </w:r>
      <w:r>
        <w:rPr>
          <w:rFonts w:ascii="Times New Roman" w:hAnsi="Times New Roman" w:cs="Times New Roman"/>
          <w:color w:val="000000"/>
          <w:sz w:val="20"/>
        </w:rPr>
        <w:t xml:space="preserve"> the consumer expectations test can be applied even to very complex products, but only where the circumstances of the product</w:t>
      </w:r>
      <w:r>
        <w:rPr>
          <w:rFonts w:ascii="Times New Roman" w:hAnsi="Times New Roman" w:cs="Times New Roman"/>
          <w:color w:val="000000"/>
          <w:sz w:val="20"/>
        </w:rPr>
        <w:t>’</w:t>
      </w:r>
      <w:r>
        <w:rPr>
          <w:rFonts w:ascii="Times New Roman" w:hAnsi="Times New Roman" w:cs="Times New Roman"/>
          <w:color w:val="000000"/>
          <w:sz w:val="20"/>
        </w:rPr>
        <w:t>s failure are relatively straightforward.</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Morson v. Superior Court</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90 Cal.App.4th at p. 792</w:t>
      </w:r>
      <w:r>
        <w:rPr>
          <w:rFonts w:ascii="Times New Roman" w:hAnsi="Times New Roman" w:cs="Times New Roman"/>
          <w:color w:val="000000"/>
          <w:sz w:val="20"/>
        </w:rPr>
        <w:t>.) The fac</w:t>
      </w:r>
      <w:r>
        <w:rPr>
          <w:rFonts w:ascii="Times New Roman" w:hAnsi="Times New Roman" w:cs="Times New Roman"/>
          <w:color w:val="000000"/>
          <w:sz w:val="20"/>
        </w:rPr>
        <w:t>t that expert testimony may be required to establish legal causation for a plaintiff</w:t>
      </w:r>
      <w:r>
        <w:rPr>
          <w:rFonts w:ascii="Times New Roman" w:hAnsi="Times New Roman" w:cs="Times New Roman"/>
          <w:color w:val="000000"/>
          <w:sz w:val="20"/>
        </w:rPr>
        <w:t>’</w:t>
      </w:r>
      <w:r>
        <w:rPr>
          <w:rFonts w:ascii="Times New Roman" w:hAnsi="Times New Roman" w:cs="Times New Roman"/>
          <w:color w:val="000000"/>
          <w:sz w:val="20"/>
        </w:rPr>
        <w:t xml:space="preserve">s injury, as it was required here, </w:t>
      </w:r>
      <w:r>
        <w:rPr>
          <w:rFonts w:ascii="Times New Roman" w:hAnsi="Times New Roman" w:cs="Times New Roman"/>
          <w:color w:val="000000"/>
          <w:sz w:val="20"/>
        </w:rPr>
        <w:t>“</w:t>
      </w:r>
      <w:r>
        <w:rPr>
          <w:rFonts w:ascii="Times New Roman" w:hAnsi="Times New Roman" w:cs="Times New Roman"/>
          <w:color w:val="000000"/>
          <w:sz w:val="20"/>
        </w:rPr>
        <w:t>does not mean that an ordinary user of the product would be unable to form assumptions about the safety of the product[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Jones v. J</w:t>
      </w:r>
      <w:r>
        <w:rPr>
          <w:rFonts w:ascii="Times New Roman" w:hAnsi="Times New Roman" w:cs="Times New Roman"/>
          <w:i/>
          <w:color w:val="0000FF"/>
          <w:sz w:val="20"/>
        </w:rPr>
        <w:t>ohn Crane, Inc.</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132 Cal.App.4th at p. 1003</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We find two cases instructive. In </w:t>
      </w:r>
      <w:r>
        <w:rPr>
          <w:rFonts w:ascii="Times New Roman" w:hAnsi="Times New Roman" w:cs="Times New Roman"/>
          <w:i/>
          <w:color w:val="000000"/>
          <w:sz w:val="20"/>
        </w:rPr>
        <w:t>Jones v. John Crane, Inc.</w:t>
      </w:r>
      <w:r>
        <w:rPr>
          <w:rFonts w:ascii="Times New Roman" w:hAnsi="Times New Roman" w:cs="Times New Roman"/>
          <w:color w:val="000000"/>
          <w:sz w:val="20"/>
        </w:rPr>
        <w:t>, the plaintiff worked for the Navy as a fireman</w:t>
      </w:r>
      <w:r>
        <w:rPr>
          <w:rFonts w:ascii="Times New Roman" w:hAnsi="Times New Roman" w:cs="Times New Roman"/>
          <w:color w:val="000000"/>
          <w:sz w:val="20"/>
        </w:rPr>
        <w:t>’</w:t>
      </w:r>
      <w:r>
        <w:rPr>
          <w:rFonts w:ascii="Times New Roman" w:hAnsi="Times New Roman" w:cs="Times New Roman"/>
          <w:color w:val="000000"/>
          <w:sz w:val="20"/>
        </w:rPr>
        <w:t>s apprentice and was exposed to asbestos products, including packing materials for valves and</w:t>
      </w:r>
      <w:r>
        <w:rPr>
          <w:rFonts w:ascii="Times New Roman" w:hAnsi="Times New Roman" w:cs="Times New Roman"/>
          <w:color w:val="000000"/>
          <w:sz w:val="20"/>
        </w:rPr>
        <w:t xml:space="preserve"> pumps. (</w:t>
      </w:r>
      <w:r>
        <w:rPr>
          <w:rFonts w:ascii="Times New Roman" w:hAnsi="Times New Roman" w:cs="Times New Roman"/>
          <w:color w:val="0000FF"/>
          <w:sz w:val="20"/>
        </w:rPr>
        <w:t>132 Cal.App.4th at p. 996</w:t>
      </w:r>
      <w:r>
        <w:rPr>
          <w:rFonts w:ascii="Times New Roman" w:hAnsi="Times New Roman" w:cs="Times New Roman"/>
          <w:color w:val="000000"/>
          <w:sz w:val="20"/>
        </w:rPr>
        <w:t xml:space="preserve">.) He sued the manufacturer of those products after he contracted </w:t>
      </w:r>
      <w:r>
        <w:rPr>
          <w:rFonts w:ascii="Times New Roman" w:hAnsi="Times New Roman" w:cs="Times New Roman"/>
          <w:color w:val="0000FF"/>
          <w:sz w:val="20"/>
        </w:rPr>
        <w:t>lung cancer</w:t>
      </w:r>
      <w:r>
        <w:rPr>
          <w:rFonts w:ascii="Times New Roman" w:hAnsi="Times New Roman" w:cs="Times New Roman"/>
          <w:color w:val="000000"/>
          <w:sz w:val="20"/>
        </w:rPr>
        <w:t>. (</w:t>
      </w:r>
      <w:r>
        <w:rPr>
          <w:rFonts w:ascii="Times New Roman" w:hAnsi="Times New Roman" w:cs="Times New Roman"/>
          <w:i/>
          <w:color w:val="000000"/>
          <w:sz w:val="20"/>
        </w:rPr>
        <w:t>Ibid.</w:t>
      </w:r>
      <w:r>
        <w:rPr>
          <w:rFonts w:ascii="Times New Roman" w:hAnsi="Times New Roman" w:cs="Times New Roman"/>
          <w:color w:val="000000"/>
          <w:sz w:val="20"/>
        </w:rPr>
        <w:t>) A jury found in the plaintiff</w:t>
      </w:r>
      <w:r>
        <w:rPr>
          <w:rFonts w:ascii="Times New Roman" w:hAnsi="Times New Roman" w:cs="Times New Roman"/>
          <w:color w:val="000000"/>
          <w:sz w:val="20"/>
        </w:rPr>
        <w:t>’</w:t>
      </w:r>
      <w:r>
        <w:rPr>
          <w:rFonts w:ascii="Times New Roman" w:hAnsi="Times New Roman" w:cs="Times New Roman"/>
          <w:color w:val="000000"/>
          <w:sz w:val="20"/>
        </w:rPr>
        <w:t>s favor on his design defect claim under the consumer-expectations test. (</w:t>
      </w:r>
      <w:r>
        <w:rPr>
          <w:rFonts w:ascii="Times New Roman" w:hAnsi="Times New Roman" w:cs="Times New Roman"/>
          <w:i/>
          <w:color w:val="0000FF"/>
          <w:sz w:val="20"/>
        </w:rPr>
        <w:t>Id.</w:t>
      </w:r>
      <w:r>
        <w:rPr>
          <w:rFonts w:ascii="Times New Roman" w:hAnsi="Times New Roman" w:cs="Times New Roman"/>
          <w:color w:val="0000FF"/>
          <w:sz w:val="20"/>
        </w:rPr>
        <w:t xml:space="preserve"> at p. 1001</w:t>
      </w:r>
      <w:r>
        <w:rPr>
          <w:rFonts w:ascii="Times New Roman" w:hAnsi="Times New Roman" w:cs="Times New Roman"/>
          <w:color w:val="000000"/>
          <w:sz w:val="20"/>
        </w:rPr>
        <w:t>.) On appeal, the</w:t>
      </w:r>
      <w:r>
        <w:rPr>
          <w:rFonts w:ascii="Times New Roman" w:hAnsi="Times New Roman" w:cs="Times New Roman"/>
          <w:color w:val="000000"/>
          <w:sz w:val="20"/>
        </w:rPr>
        <w:t xml:space="preserve"> asbestos company argued that the </w:t>
      </w:r>
      <w:r>
        <w:rPr>
          <w:rFonts w:ascii="Times New Roman" w:hAnsi="Times New Roman" w:cs="Times New Roman"/>
          <w:color w:val="000000"/>
          <w:sz w:val="20"/>
        </w:rPr>
        <w:lastRenderedPageBreak/>
        <w:t>consumer-expectations test was inapplicable because experts were called to testify about whether any defect in asbestos caused the plaintiff</w:t>
      </w:r>
      <w:r>
        <w:rPr>
          <w:rFonts w:ascii="Times New Roman" w:hAnsi="Times New Roman" w:cs="Times New Roman"/>
          <w:color w:val="000000"/>
          <w:sz w:val="20"/>
        </w:rPr>
        <w:t>’</w:t>
      </w:r>
      <w:r>
        <w:rPr>
          <w:rFonts w:ascii="Times New Roman" w:hAnsi="Times New Roman" w:cs="Times New Roman"/>
          <w:color w:val="000000"/>
          <w:sz w:val="20"/>
        </w:rPr>
        <w:t>s injury, but Division Three of this court disagreed. (</w:t>
      </w:r>
      <w:r>
        <w:rPr>
          <w:rFonts w:ascii="Times New Roman" w:hAnsi="Times New Roman" w:cs="Times New Roman"/>
          <w:i/>
          <w:color w:val="0000FF"/>
          <w:sz w:val="20"/>
        </w:rPr>
        <w:t>Id.</w:t>
      </w:r>
      <w:r>
        <w:rPr>
          <w:rFonts w:ascii="Times New Roman" w:hAnsi="Times New Roman" w:cs="Times New Roman"/>
          <w:color w:val="0000FF"/>
          <w:sz w:val="20"/>
        </w:rPr>
        <w:t xml:space="preserve"> at pp. 1001</w:t>
      </w:r>
      <w:r>
        <w:rPr>
          <w:rFonts w:ascii="Times New Roman" w:hAnsi="Times New Roman" w:cs="Times New Roman"/>
          <w:color w:val="0000FF"/>
          <w:sz w:val="20"/>
        </w:rPr>
        <w:t>–</w:t>
      </w:r>
      <w:r>
        <w:rPr>
          <w:rFonts w:ascii="Times New Roman" w:hAnsi="Times New Roman" w:cs="Times New Roman"/>
          <w:color w:val="0000FF"/>
          <w:sz w:val="20"/>
        </w:rPr>
        <w:t>1003</w:t>
      </w:r>
      <w:r>
        <w:rPr>
          <w:rFonts w:ascii="Times New Roman" w:hAnsi="Times New Roman" w:cs="Times New Roman"/>
          <w:color w:val="000000"/>
          <w:sz w:val="20"/>
        </w:rPr>
        <w:t>.) The</w:t>
      </w:r>
      <w:r>
        <w:rPr>
          <w:rFonts w:ascii="Times New Roman" w:hAnsi="Times New Roman" w:cs="Times New Roman"/>
          <w:color w:val="000000"/>
          <w:sz w:val="20"/>
        </w:rPr>
        <w:t xml:space="preserve"> court noted that there was </w:t>
      </w:r>
      <w:r>
        <w:rPr>
          <w:rFonts w:ascii="Times New Roman" w:hAnsi="Times New Roman" w:cs="Times New Roman"/>
          <w:color w:val="000000"/>
          <w:sz w:val="20"/>
        </w:rPr>
        <w:t>“</w:t>
      </w:r>
      <w:r>
        <w:rPr>
          <w:rFonts w:ascii="Times New Roman" w:hAnsi="Times New Roman" w:cs="Times New Roman"/>
          <w:color w:val="000000"/>
          <w:sz w:val="20"/>
        </w:rPr>
        <w:t>nothing complicated or obscure about the design and operation of the products, nor are there any esoteric circumstances surrounding the manner in which [plaintiff] was exposed to the asbestos fibers.</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Id</w:t>
      </w:r>
      <w:r>
        <w:rPr>
          <w:rFonts w:ascii="Times New Roman" w:hAnsi="Times New Roman" w:cs="Times New Roman"/>
          <w:color w:val="0000FF"/>
          <w:sz w:val="20"/>
        </w:rPr>
        <w:t>. at p. 1003</w:t>
      </w:r>
      <w:r>
        <w:rPr>
          <w:rFonts w:ascii="Times New Roman" w:hAnsi="Times New Roman" w:cs="Times New Roman"/>
          <w:color w:val="000000"/>
          <w:sz w:val="20"/>
        </w:rPr>
        <w:t>) It held t</w:t>
      </w:r>
      <w:r>
        <w:rPr>
          <w:rFonts w:ascii="Times New Roman" w:hAnsi="Times New Roman" w:cs="Times New Roman"/>
          <w:color w:val="000000"/>
          <w:sz w:val="20"/>
        </w:rPr>
        <w:t>hat the jury reasonably could have found that people working with the asbestos company</w:t>
      </w:r>
      <w:r>
        <w:rPr>
          <w:rFonts w:ascii="Times New Roman" w:hAnsi="Times New Roman" w:cs="Times New Roman"/>
          <w:color w:val="000000"/>
          <w:sz w:val="20"/>
        </w:rPr>
        <w:t>’</w:t>
      </w:r>
      <w:r>
        <w:rPr>
          <w:rFonts w:ascii="Times New Roman" w:hAnsi="Times New Roman" w:cs="Times New Roman"/>
          <w:color w:val="000000"/>
          <w:sz w:val="20"/>
        </w:rPr>
        <w:t xml:space="preserve">s products did not expect to develop </w:t>
      </w:r>
      <w:r>
        <w:rPr>
          <w:rFonts w:ascii="Times New Roman" w:hAnsi="Times New Roman" w:cs="Times New Roman"/>
          <w:color w:val="0000FF"/>
          <w:sz w:val="20"/>
        </w:rPr>
        <w:t>lung cancer</w:t>
      </w:r>
      <w:r>
        <w:rPr>
          <w:rFonts w:ascii="Times New Roman" w:hAnsi="Times New Roman" w:cs="Times New Roman"/>
          <w:color w:val="000000"/>
          <w:sz w:val="20"/>
        </w:rPr>
        <w:t xml:space="preserve">, and </w:t>
      </w:r>
      <w:r>
        <w:rPr>
          <w:rFonts w:ascii="Times New Roman" w:hAnsi="Times New Roman" w:cs="Times New Roman"/>
          <w:color w:val="000000"/>
          <w:sz w:val="20"/>
        </w:rPr>
        <w:t>“</w:t>
      </w:r>
      <w:r>
        <w:rPr>
          <w:rFonts w:ascii="Times New Roman" w:hAnsi="Times New Roman" w:cs="Times New Roman"/>
          <w:color w:val="000000"/>
          <w:sz w:val="20"/>
        </w:rPr>
        <w:t>[t]he fact that expert testimony was required to establish legal causation for plaintiffs</w:t>
      </w:r>
      <w:r>
        <w:rPr>
          <w:rFonts w:ascii="Times New Roman" w:hAnsi="Times New Roman" w:cs="Times New Roman"/>
          <w:color w:val="000000"/>
          <w:sz w:val="20"/>
        </w:rPr>
        <w:t>’</w:t>
      </w:r>
      <w:r>
        <w:rPr>
          <w:rFonts w:ascii="Times New Roman" w:hAnsi="Times New Roman" w:cs="Times New Roman"/>
          <w:color w:val="000000"/>
          <w:sz w:val="20"/>
        </w:rPr>
        <w:t xml:space="preserve"> injuries does not mean </w:t>
      </w:r>
      <w:r>
        <w:rPr>
          <w:rFonts w:ascii="Times New Roman" w:hAnsi="Times New Roman" w:cs="Times New Roman"/>
          <w:color w:val="000000"/>
          <w:sz w:val="20"/>
        </w:rPr>
        <w:t>that an ordinary user of the product would be unable to form assumptions about the safety of the products.</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00"/>
          <w:sz w:val="20"/>
        </w:rPr>
        <w:t>Ibid.</w:t>
      </w:r>
      <w:r>
        <w:rPr>
          <w:rFonts w:ascii="Times New Roman" w:hAnsi="Times New Roman" w:cs="Times New Roman"/>
          <w:color w:val="000000"/>
          <w:sz w:val="20"/>
        </w:rPr>
        <w:t>) Likewise, while causation was the subject of lengthy expert testimony here, there was nothing complicated or technical about the way Johnson</w:t>
      </w:r>
      <w:r>
        <w:rPr>
          <w:rFonts w:ascii="Times New Roman" w:hAnsi="Times New Roman" w:cs="Times New Roman"/>
          <w:color w:val="000000"/>
          <w:sz w:val="20"/>
        </w:rPr>
        <w:t xml:space="preserve"> applied Roundup products, and the jury could conclude that he could reasonably expect that using them would not lead to </w:t>
      </w:r>
      <w:r>
        <w:rPr>
          <w:rFonts w:ascii="Times New Roman" w:hAnsi="Times New Roman" w:cs="Times New Roman"/>
          <w:color w:val="0000FF"/>
          <w:sz w:val="20"/>
        </w:rPr>
        <w:t>cancer</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In </w:t>
      </w:r>
      <w:r>
        <w:rPr>
          <w:rFonts w:ascii="Times New Roman" w:hAnsi="Times New Roman" w:cs="Times New Roman"/>
          <w:i/>
          <w:color w:val="000000"/>
          <w:sz w:val="20"/>
        </w:rPr>
        <w:t>West v. Johnson &amp; Johnson Products, Inc.</w:t>
      </w:r>
      <w:r>
        <w:rPr>
          <w:rFonts w:ascii="Times New Roman" w:hAnsi="Times New Roman" w:cs="Times New Roman"/>
          <w:color w:val="000000"/>
          <w:sz w:val="20"/>
        </w:rPr>
        <w:t>, a woman sued after she suffered toxic shock syndrome (TSS) from using tampons du</w:t>
      </w:r>
      <w:r>
        <w:rPr>
          <w:rFonts w:ascii="Times New Roman" w:hAnsi="Times New Roman" w:cs="Times New Roman"/>
          <w:color w:val="000000"/>
          <w:sz w:val="20"/>
        </w:rPr>
        <w:t>ring her menstrual cycle. (</w:t>
      </w:r>
      <w:r>
        <w:rPr>
          <w:rFonts w:ascii="Times New Roman" w:hAnsi="Times New Roman" w:cs="Times New Roman"/>
          <w:color w:val="0000FF"/>
          <w:sz w:val="20"/>
        </w:rPr>
        <w:t>174 Cal.App.3d at pp. 841</w:t>
      </w:r>
      <w:r>
        <w:rPr>
          <w:rFonts w:ascii="Times New Roman" w:hAnsi="Times New Roman" w:cs="Times New Roman"/>
          <w:color w:val="0000FF"/>
          <w:sz w:val="20"/>
        </w:rPr>
        <w:t>–</w:t>
      </w:r>
      <w:r>
        <w:rPr>
          <w:rFonts w:ascii="Times New Roman" w:hAnsi="Times New Roman" w:cs="Times New Roman"/>
          <w:color w:val="0000FF"/>
          <w:sz w:val="20"/>
        </w:rPr>
        <w:t>843</w:t>
      </w:r>
      <w:r>
        <w:rPr>
          <w:rFonts w:ascii="Times New Roman" w:hAnsi="Times New Roman" w:cs="Times New Roman"/>
          <w:color w:val="000000"/>
          <w:sz w:val="20"/>
        </w:rPr>
        <w:t>.) Expert testimony was presented at trial about the plaintiff</w:t>
      </w:r>
      <w:r>
        <w:rPr>
          <w:rFonts w:ascii="Times New Roman" w:hAnsi="Times New Roman" w:cs="Times New Roman"/>
          <w:color w:val="000000"/>
          <w:sz w:val="20"/>
        </w:rPr>
        <w:t>’</w:t>
      </w:r>
      <w:r>
        <w:rPr>
          <w:rFonts w:ascii="Times New Roman" w:hAnsi="Times New Roman" w:cs="Times New Roman"/>
          <w:color w:val="000000"/>
          <w:sz w:val="20"/>
        </w:rPr>
        <w:t>s diagnosis and whether her tampons caused her TSS. (</w:t>
      </w:r>
      <w:r>
        <w:rPr>
          <w:rFonts w:ascii="Times New Roman" w:hAnsi="Times New Roman" w:cs="Times New Roman"/>
          <w:i/>
          <w:color w:val="0000FF"/>
          <w:sz w:val="20"/>
        </w:rPr>
        <w:t>Id.</w:t>
      </w:r>
      <w:r>
        <w:rPr>
          <w:rFonts w:ascii="Times New Roman" w:hAnsi="Times New Roman" w:cs="Times New Roman"/>
          <w:color w:val="0000FF"/>
          <w:sz w:val="20"/>
        </w:rPr>
        <w:t xml:space="preserve"> at pp. 848</w:t>
      </w:r>
      <w:r>
        <w:rPr>
          <w:rFonts w:ascii="Times New Roman" w:hAnsi="Times New Roman" w:cs="Times New Roman"/>
          <w:color w:val="0000FF"/>
          <w:sz w:val="20"/>
        </w:rPr>
        <w:t>–</w:t>
      </w:r>
      <w:r>
        <w:rPr>
          <w:rFonts w:ascii="Times New Roman" w:hAnsi="Times New Roman" w:cs="Times New Roman"/>
          <w:color w:val="0000FF"/>
          <w:sz w:val="20"/>
        </w:rPr>
        <w:t>849</w:t>
      </w:r>
      <w:r>
        <w:rPr>
          <w:rFonts w:ascii="Times New Roman" w:hAnsi="Times New Roman" w:cs="Times New Roman"/>
          <w:color w:val="000000"/>
          <w:sz w:val="20"/>
        </w:rPr>
        <w:t>.) On app</w:t>
      </w:r>
      <w:r>
        <w:rPr>
          <w:rFonts w:ascii="Times New Roman" w:hAnsi="Times New Roman" w:cs="Times New Roman"/>
          <w:color w:val="000000"/>
          <w:sz w:val="20"/>
        </w:rPr>
        <w:t>eal from a jury verdict for plaintiff, the defendant argued, as Monsanto argues here, that the consumer-expectations test is inappropriate in cases that require the presentation of expert testimony. (</w:t>
      </w:r>
      <w:r>
        <w:rPr>
          <w:rFonts w:ascii="Times New Roman" w:hAnsi="Times New Roman" w:cs="Times New Roman"/>
          <w:i/>
          <w:color w:val="0000FF"/>
          <w:sz w:val="20"/>
        </w:rPr>
        <w:t>Id.</w:t>
      </w:r>
      <w:r>
        <w:rPr>
          <w:rFonts w:ascii="Times New Roman" w:hAnsi="Times New Roman" w:cs="Times New Roman"/>
          <w:color w:val="0000FF"/>
          <w:sz w:val="20"/>
        </w:rPr>
        <w:t xml:space="preserve"> at p. 865</w:t>
      </w:r>
      <w:r>
        <w:rPr>
          <w:rFonts w:ascii="Times New Roman" w:hAnsi="Times New Roman" w:cs="Times New Roman"/>
          <w:color w:val="000000"/>
          <w:sz w:val="20"/>
        </w:rPr>
        <w:t>.) The appellate court disagreed. The court</w:t>
      </w:r>
      <w:r>
        <w:rPr>
          <w:rFonts w:ascii="Times New Roman" w:hAnsi="Times New Roman" w:cs="Times New Roman"/>
          <w:color w:val="000000"/>
          <w:sz w:val="20"/>
        </w:rPr>
        <w:t xml:space="preserve"> first noted that the defendant, like Monsanto, had not requested jury instructions on the alternate risk-benefit test and that it had not provided any evidence to meet its burden under that standard to show that a safer alternative design was infeasible, </w:t>
      </w:r>
      <w:r>
        <w:rPr>
          <w:rFonts w:ascii="Times New Roman" w:hAnsi="Times New Roman" w:cs="Times New Roman"/>
          <w:color w:val="000000"/>
          <w:sz w:val="20"/>
        </w:rPr>
        <w:t>or that the cost of a different design would have been prohibitive, or that a different tampon design would have been more dangerous to the consumer. (</w:t>
      </w:r>
      <w:r>
        <w:rPr>
          <w:rFonts w:ascii="Times New Roman" w:hAnsi="Times New Roman" w:cs="Times New Roman"/>
          <w:i/>
          <w:color w:val="0000FF"/>
          <w:sz w:val="20"/>
        </w:rPr>
        <w:t>Id.</w:t>
      </w:r>
      <w:r>
        <w:rPr>
          <w:rFonts w:ascii="Times New Roman" w:hAnsi="Times New Roman" w:cs="Times New Roman"/>
          <w:color w:val="0000FF"/>
          <w:sz w:val="20"/>
        </w:rPr>
        <w:t xml:space="preserve"> at p. 864</w:t>
      </w:r>
      <w:r>
        <w:rPr>
          <w:rFonts w:ascii="Times New Roman" w:hAnsi="Times New Roman" w:cs="Times New Roman"/>
          <w:color w:val="000000"/>
          <w:sz w:val="20"/>
        </w:rPr>
        <w:t>.) But in any event, the court ruled that reliance on expert testimony on some issues did no</w:t>
      </w:r>
      <w:r>
        <w:rPr>
          <w:rFonts w:ascii="Times New Roman" w:hAnsi="Times New Roman" w:cs="Times New Roman"/>
          <w:color w:val="000000"/>
          <w:sz w:val="20"/>
        </w:rPr>
        <w:t>t preclude the plaintiff from proceeding on a consumer-expectations theory. (</w:t>
      </w:r>
      <w:r>
        <w:rPr>
          <w:rFonts w:ascii="Times New Roman" w:hAnsi="Times New Roman" w:cs="Times New Roman"/>
          <w:i/>
          <w:color w:val="0000FF"/>
          <w:sz w:val="20"/>
        </w:rPr>
        <w:t>Id.</w:t>
      </w:r>
      <w:r>
        <w:rPr>
          <w:rFonts w:ascii="Times New Roman" w:hAnsi="Times New Roman" w:cs="Times New Roman"/>
          <w:color w:val="0000FF"/>
          <w:sz w:val="20"/>
        </w:rPr>
        <w:t xml:space="preserve"> at pp. 864</w:t>
      </w:r>
      <w:r>
        <w:rPr>
          <w:rFonts w:ascii="Times New Roman" w:hAnsi="Times New Roman" w:cs="Times New Roman"/>
          <w:color w:val="0000FF"/>
          <w:sz w:val="20"/>
        </w:rPr>
        <w:t>–</w:t>
      </w:r>
      <w:r>
        <w:rPr>
          <w:rFonts w:ascii="Times New Roman" w:hAnsi="Times New Roman" w:cs="Times New Roman"/>
          <w:color w:val="0000FF"/>
          <w:sz w:val="20"/>
        </w:rPr>
        <w:t>866</w:t>
      </w:r>
      <w:r>
        <w:rPr>
          <w:rFonts w:ascii="Times New Roman" w:hAnsi="Times New Roman" w:cs="Times New Roman"/>
          <w:color w:val="000000"/>
          <w:sz w:val="20"/>
        </w:rPr>
        <w:t xml:space="preserve">.) The plaintiff had been using the brand of tampon in question for five years, and she </w:t>
      </w:r>
      <w:r>
        <w:rPr>
          <w:rFonts w:ascii="Times New Roman" w:hAnsi="Times New Roman" w:cs="Times New Roman"/>
          <w:color w:val="000000"/>
          <w:sz w:val="20"/>
        </w:rPr>
        <w:t>“</w:t>
      </w:r>
      <w:r>
        <w:rPr>
          <w:rFonts w:ascii="Times New Roman" w:hAnsi="Times New Roman" w:cs="Times New Roman"/>
          <w:color w:val="000000"/>
          <w:sz w:val="20"/>
        </w:rPr>
        <w:t xml:space="preserve">could reasonably expect, and had every right to expect, that use of the </w:t>
      </w:r>
      <w:r>
        <w:rPr>
          <w:rFonts w:ascii="Times New Roman" w:hAnsi="Times New Roman" w:cs="Times New Roman"/>
          <w:color w:val="000000"/>
          <w:sz w:val="20"/>
        </w:rPr>
        <w:t>product would not lead to a serious (or perhaps fatal) illness.</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Id.</w:t>
      </w:r>
      <w:r>
        <w:rPr>
          <w:rFonts w:ascii="Times New Roman" w:hAnsi="Times New Roman" w:cs="Times New Roman"/>
          <w:color w:val="0000FF"/>
          <w:sz w:val="20"/>
        </w:rPr>
        <w:t xml:space="preserve"> at p. 867</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28" w:name="co_pp_sp_999_12_1"/>
      <w:bookmarkEnd w:id="28"/>
      <w:r>
        <w:rPr>
          <w:rFonts w:ascii="Times New Roman" w:hAnsi="Times New Roman" w:cs="Times New Roman"/>
          <w:b/>
          <w:color w:val="000000"/>
          <w:sz w:val="20"/>
        </w:rPr>
        <w:t>*12</w:t>
      </w:r>
      <w:r>
        <w:rPr>
          <w:rFonts w:ascii="Times New Roman" w:hAnsi="Times New Roman" w:cs="Times New Roman"/>
          <w:color w:val="000000"/>
          <w:sz w:val="20"/>
        </w:rPr>
        <w:t xml:space="preserve"> Monsanto</w:t>
      </w:r>
      <w:r>
        <w:rPr>
          <w:rFonts w:ascii="Times New Roman" w:hAnsi="Times New Roman" w:cs="Times New Roman"/>
          <w:color w:val="000000"/>
          <w:sz w:val="20"/>
        </w:rPr>
        <w:t>’</w:t>
      </w:r>
      <w:r>
        <w:rPr>
          <w:rFonts w:ascii="Times New Roman" w:hAnsi="Times New Roman" w:cs="Times New Roman"/>
          <w:color w:val="000000"/>
          <w:sz w:val="20"/>
        </w:rPr>
        <w:t xml:space="preserve">s reliance on </w:t>
      </w:r>
      <w:r>
        <w:rPr>
          <w:rFonts w:ascii="Times New Roman" w:hAnsi="Times New Roman" w:cs="Times New Roman"/>
          <w:i/>
          <w:color w:val="0000FF"/>
          <w:sz w:val="20"/>
        </w:rPr>
        <w:t>Morson v. Superior Court</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90 Cal.App.4th 775</w:t>
      </w:r>
      <w:r>
        <w:rPr>
          <w:rFonts w:ascii="Times New Roman" w:hAnsi="Times New Roman" w:cs="Times New Roman"/>
          <w:color w:val="000000"/>
          <w:sz w:val="20"/>
        </w:rPr>
        <w:t xml:space="preserve">, is misplaced. In </w:t>
      </w:r>
      <w:r>
        <w:rPr>
          <w:rFonts w:ascii="Times New Roman" w:hAnsi="Times New Roman" w:cs="Times New Roman"/>
          <w:i/>
          <w:color w:val="000000"/>
          <w:sz w:val="20"/>
        </w:rPr>
        <w:t>Morson</w:t>
      </w:r>
      <w:r>
        <w:rPr>
          <w:rFonts w:ascii="Times New Roman" w:hAnsi="Times New Roman" w:cs="Times New Roman"/>
          <w:color w:val="000000"/>
          <w:sz w:val="20"/>
        </w:rPr>
        <w:t>, the plaintiffs alleged that manuf</w:t>
      </w:r>
      <w:r>
        <w:rPr>
          <w:rFonts w:ascii="Times New Roman" w:hAnsi="Times New Roman" w:cs="Times New Roman"/>
          <w:color w:val="000000"/>
          <w:sz w:val="20"/>
        </w:rPr>
        <w:t>acturers of latex gloves failed to adequately warn them of the possibility of contracting allergies from the gloves. (</w:t>
      </w:r>
      <w:r>
        <w:rPr>
          <w:rFonts w:ascii="Times New Roman" w:hAnsi="Times New Roman" w:cs="Times New Roman"/>
          <w:i/>
          <w:color w:val="0000FF"/>
          <w:sz w:val="20"/>
        </w:rPr>
        <w:t>Id.</w:t>
      </w:r>
      <w:r>
        <w:rPr>
          <w:rFonts w:ascii="Times New Roman" w:hAnsi="Times New Roman" w:cs="Times New Roman"/>
          <w:color w:val="0000FF"/>
          <w:sz w:val="20"/>
        </w:rPr>
        <w:t xml:space="preserve"> at pp. 778</w:t>
      </w:r>
      <w:r>
        <w:rPr>
          <w:rFonts w:ascii="Times New Roman" w:hAnsi="Times New Roman" w:cs="Times New Roman"/>
          <w:color w:val="0000FF"/>
          <w:sz w:val="20"/>
        </w:rPr>
        <w:t>–</w:t>
      </w:r>
      <w:r>
        <w:rPr>
          <w:rFonts w:ascii="Times New Roman" w:hAnsi="Times New Roman" w:cs="Times New Roman"/>
          <w:color w:val="0000FF"/>
          <w:sz w:val="20"/>
        </w:rPr>
        <w:t>779</w:t>
      </w:r>
      <w:r>
        <w:rPr>
          <w:rFonts w:ascii="Times New Roman" w:hAnsi="Times New Roman" w:cs="Times New Roman"/>
          <w:color w:val="000000"/>
          <w:sz w:val="20"/>
        </w:rPr>
        <w:t xml:space="preserve">.) The court held that the consumer-expectations test was inapplicable </w:t>
      </w:r>
      <w:r>
        <w:rPr>
          <w:rFonts w:ascii="Times New Roman" w:hAnsi="Times New Roman" w:cs="Times New Roman"/>
          <w:color w:val="000000"/>
          <w:sz w:val="20"/>
        </w:rPr>
        <w:t>because expert testimony would be necessary to un</w:t>
      </w:r>
      <w:r>
        <w:rPr>
          <w:rFonts w:ascii="Times New Roman" w:hAnsi="Times New Roman" w:cs="Times New Roman"/>
          <w:color w:val="000000"/>
          <w:sz w:val="20"/>
        </w:rPr>
        <w:t>derstand the nature of the alleged injuries. (</w:t>
      </w:r>
      <w:r>
        <w:rPr>
          <w:rFonts w:ascii="Times New Roman" w:hAnsi="Times New Roman" w:cs="Times New Roman"/>
          <w:i/>
          <w:color w:val="0000FF"/>
          <w:sz w:val="20"/>
        </w:rPr>
        <w:t>Id.</w:t>
      </w:r>
      <w:r>
        <w:rPr>
          <w:rFonts w:ascii="Times New Roman" w:hAnsi="Times New Roman" w:cs="Times New Roman"/>
          <w:color w:val="0000FF"/>
          <w:sz w:val="20"/>
        </w:rPr>
        <w:t xml:space="preserve"> at p. 779</w:t>
      </w:r>
      <w:r>
        <w:rPr>
          <w:rFonts w:ascii="Times New Roman" w:hAnsi="Times New Roman" w:cs="Times New Roman"/>
          <w:color w:val="000000"/>
          <w:sz w:val="20"/>
        </w:rPr>
        <w:t>.) The court noted that the plaintiffs</w:t>
      </w:r>
      <w:r>
        <w:rPr>
          <w:rFonts w:ascii="Times New Roman" w:hAnsi="Times New Roman" w:cs="Times New Roman"/>
          <w:color w:val="000000"/>
          <w:sz w:val="20"/>
        </w:rPr>
        <w:t>’</w:t>
      </w:r>
      <w:r>
        <w:rPr>
          <w:rFonts w:ascii="Times New Roman" w:hAnsi="Times New Roman" w:cs="Times New Roman"/>
          <w:color w:val="000000"/>
          <w:sz w:val="20"/>
        </w:rPr>
        <w:t xml:space="preserve"> theory of design defect was a </w:t>
      </w:r>
      <w:r>
        <w:rPr>
          <w:rFonts w:ascii="Times New Roman" w:hAnsi="Times New Roman" w:cs="Times New Roman"/>
          <w:color w:val="000000"/>
          <w:sz w:val="20"/>
        </w:rPr>
        <w:t>“</w:t>
      </w:r>
      <w:r>
        <w:rPr>
          <w:rFonts w:ascii="Times New Roman" w:hAnsi="Times New Roman" w:cs="Times New Roman"/>
          <w:color w:val="000000"/>
          <w:sz w:val="20"/>
        </w:rPr>
        <w:t>complex one,</w:t>
      </w:r>
      <w:r>
        <w:rPr>
          <w:rFonts w:ascii="Times New Roman" w:hAnsi="Times New Roman" w:cs="Times New Roman"/>
          <w:color w:val="000000"/>
          <w:sz w:val="20"/>
        </w:rPr>
        <w:t>”</w:t>
      </w:r>
      <w:r>
        <w:rPr>
          <w:rFonts w:ascii="Times New Roman" w:hAnsi="Times New Roman" w:cs="Times New Roman"/>
          <w:color w:val="000000"/>
          <w:sz w:val="20"/>
        </w:rPr>
        <w:t xml:space="preserve"> because they were </w:t>
      </w:r>
      <w:r>
        <w:rPr>
          <w:rFonts w:ascii="Times New Roman" w:hAnsi="Times New Roman" w:cs="Times New Roman"/>
          <w:color w:val="000000"/>
          <w:sz w:val="20"/>
        </w:rPr>
        <w:t>“</w:t>
      </w:r>
      <w:r>
        <w:rPr>
          <w:rFonts w:ascii="Times New Roman" w:hAnsi="Times New Roman" w:cs="Times New Roman"/>
          <w:color w:val="000000"/>
          <w:sz w:val="20"/>
        </w:rPr>
        <w:t>seeking to prove that their conditions were caused by more than a natural allergy to a natura</w:t>
      </w:r>
      <w:r>
        <w:rPr>
          <w:rFonts w:ascii="Times New Roman" w:hAnsi="Times New Roman" w:cs="Times New Roman"/>
          <w:color w:val="000000"/>
          <w:sz w:val="20"/>
        </w:rPr>
        <w:t>l substance, such that a product defect or a wrongdoing by a defendant could have been causative factors.</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Id.</w:t>
      </w:r>
      <w:r>
        <w:rPr>
          <w:rFonts w:ascii="Times New Roman" w:hAnsi="Times New Roman" w:cs="Times New Roman"/>
          <w:color w:val="0000FF"/>
          <w:sz w:val="20"/>
        </w:rPr>
        <w:t xml:space="preserve"> at pp. 793</w:t>
      </w:r>
      <w:r>
        <w:rPr>
          <w:rFonts w:ascii="Times New Roman" w:hAnsi="Times New Roman" w:cs="Times New Roman"/>
          <w:color w:val="0000FF"/>
          <w:sz w:val="20"/>
        </w:rPr>
        <w:t>–</w:t>
      </w:r>
      <w:r>
        <w:rPr>
          <w:rFonts w:ascii="Times New Roman" w:hAnsi="Times New Roman" w:cs="Times New Roman"/>
          <w:color w:val="0000FF"/>
          <w:sz w:val="20"/>
        </w:rPr>
        <w:t>794</w:t>
      </w:r>
      <w:r>
        <w:rPr>
          <w:rFonts w:ascii="Times New Roman" w:hAnsi="Times New Roman" w:cs="Times New Roman"/>
          <w:color w:val="000000"/>
          <w:sz w:val="20"/>
        </w:rPr>
        <w:t xml:space="preserve">.) The court ultimately concluded that </w:t>
      </w:r>
      <w:r>
        <w:rPr>
          <w:rFonts w:ascii="Times New Roman" w:hAnsi="Times New Roman" w:cs="Times New Roman"/>
          <w:color w:val="000000"/>
          <w:sz w:val="20"/>
        </w:rPr>
        <w:t>“</w:t>
      </w:r>
      <w:r>
        <w:rPr>
          <w:rFonts w:ascii="Times New Roman" w:hAnsi="Times New Roman" w:cs="Times New Roman"/>
          <w:color w:val="000000"/>
          <w:sz w:val="20"/>
        </w:rPr>
        <w:t xml:space="preserve">[t]he alleged creation or exacerbation of allergies by a product, such as by the presence </w:t>
      </w:r>
      <w:r>
        <w:rPr>
          <w:rFonts w:ascii="Times New Roman" w:hAnsi="Times New Roman" w:cs="Times New Roman"/>
          <w:color w:val="000000"/>
          <w:sz w:val="20"/>
        </w:rPr>
        <w:t>of certain levels of proteins on the surface of latex gloves, to which the user is exposed, are not subjects of commonly accepted minimum safety assumptions of an ordinary consumer.</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Id.</w:t>
      </w:r>
      <w:r>
        <w:rPr>
          <w:rFonts w:ascii="Times New Roman" w:hAnsi="Times New Roman" w:cs="Times New Roman"/>
          <w:color w:val="0000FF"/>
          <w:sz w:val="20"/>
        </w:rPr>
        <w:t xml:space="preserve"> at p. 795</w:t>
      </w:r>
      <w:r>
        <w:rPr>
          <w:rFonts w:ascii="Times New Roman" w:hAnsi="Times New Roman" w:cs="Times New Roman"/>
          <w:color w:val="000000"/>
          <w:sz w:val="20"/>
        </w:rPr>
        <w:t>.) Monsanto is thus correct that a key factor in deciding w</w:t>
      </w:r>
      <w:r>
        <w:rPr>
          <w:rFonts w:ascii="Times New Roman" w:hAnsi="Times New Roman" w:cs="Times New Roman"/>
          <w:color w:val="000000"/>
          <w:sz w:val="20"/>
        </w:rPr>
        <w:t xml:space="preserve">hether to apply the consumer-expectations test is </w:t>
      </w:r>
      <w:r>
        <w:rPr>
          <w:rFonts w:ascii="Times New Roman" w:hAnsi="Times New Roman" w:cs="Times New Roman"/>
          <w:color w:val="000000"/>
          <w:sz w:val="20"/>
        </w:rPr>
        <w:t>“</w:t>
      </w:r>
      <w:r>
        <w:rPr>
          <w:rFonts w:ascii="Times New Roman" w:hAnsi="Times New Roman" w:cs="Times New Roman"/>
          <w:color w:val="000000"/>
          <w:sz w:val="20"/>
        </w:rPr>
        <w:t>the complexity of the alleged circumstances of the plaintiff</w:t>
      </w:r>
      <w:r>
        <w:rPr>
          <w:rFonts w:ascii="Times New Roman" w:hAnsi="Times New Roman" w:cs="Times New Roman"/>
          <w:color w:val="000000"/>
          <w:sz w:val="20"/>
        </w:rPr>
        <w:t>’</w:t>
      </w:r>
      <w:r>
        <w:rPr>
          <w:rFonts w:ascii="Times New Roman" w:hAnsi="Times New Roman" w:cs="Times New Roman"/>
          <w:color w:val="000000"/>
          <w:sz w:val="20"/>
        </w:rPr>
        <w:t>s injury.</w:t>
      </w:r>
      <w:r>
        <w:rPr>
          <w:rFonts w:ascii="Times New Roman" w:hAnsi="Times New Roman" w:cs="Times New Roman"/>
          <w:color w:val="000000"/>
          <w:sz w:val="20"/>
        </w:rPr>
        <w:t>”</w:t>
      </w:r>
      <w:r>
        <w:rPr>
          <w:rFonts w:ascii="Times New Roman" w:hAnsi="Times New Roman" w:cs="Times New Roman"/>
          <w:color w:val="000000"/>
          <w:sz w:val="20"/>
        </w:rPr>
        <w:t xml:space="preserve"> But we disagree that the expectation of average consumers about contracting unusual allergies from using latex gloves is comparable t</w:t>
      </w:r>
      <w:r>
        <w:rPr>
          <w:rFonts w:ascii="Times New Roman" w:hAnsi="Times New Roman" w:cs="Times New Roman"/>
          <w:color w:val="000000"/>
          <w:sz w:val="20"/>
        </w:rPr>
        <w:t xml:space="preserve">o their expectations about contracting </w:t>
      </w:r>
      <w:r>
        <w:rPr>
          <w:rFonts w:ascii="Times New Roman" w:hAnsi="Times New Roman" w:cs="Times New Roman"/>
          <w:color w:val="0000FF"/>
          <w:sz w:val="20"/>
        </w:rPr>
        <w:t>cancer</w:t>
      </w:r>
      <w:r>
        <w:rPr>
          <w:rFonts w:ascii="Times New Roman" w:hAnsi="Times New Roman" w:cs="Times New Roman"/>
          <w:color w:val="000000"/>
          <w:sz w:val="20"/>
        </w:rPr>
        <w:t xml:space="preserve"> from using herbicides.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We likewise disagree that this case is similar to </w:t>
      </w:r>
      <w:r>
        <w:rPr>
          <w:rFonts w:ascii="Times New Roman" w:hAnsi="Times New Roman" w:cs="Times New Roman"/>
          <w:i/>
          <w:color w:val="0000FF"/>
          <w:sz w:val="20"/>
        </w:rPr>
        <w:t>Trejo v. Johnson &amp; Johnson</w:t>
      </w:r>
      <w:r>
        <w:rPr>
          <w:rFonts w:ascii="Times New Roman" w:hAnsi="Times New Roman" w:cs="Times New Roman"/>
          <w:color w:val="0000FF"/>
          <w:sz w:val="20"/>
        </w:rPr>
        <w:t xml:space="preserve"> (2017) 13 Cal.App.5th 110</w:t>
      </w:r>
      <w:r>
        <w:rPr>
          <w:rFonts w:ascii="Times New Roman" w:hAnsi="Times New Roman" w:cs="Times New Roman"/>
          <w:color w:val="000000"/>
          <w:sz w:val="20"/>
        </w:rPr>
        <w:t xml:space="preserve">, as Monsanto claims. In </w:t>
      </w:r>
      <w:r>
        <w:rPr>
          <w:rFonts w:ascii="Times New Roman" w:hAnsi="Times New Roman" w:cs="Times New Roman"/>
          <w:i/>
          <w:color w:val="000000"/>
          <w:sz w:val="20"/>
        </w:rPr>
        <w:t>Trejo</w:t>
      </w:r>
      <w:r>
        <w:rPr>
          <w:rFonts w:ascii="Times New Roman" w:hAnsi="Times New Roman" w:cs="Times New Roman"/>
          <w:color w:val="000000"/>
          <w:sz w:val="20"/>
        </w:rPr>
        <w:t>, the plaintiff suffered a rare skin disease after ta</w:t>
      </w:r>
      <w:r>
        <w:rPr>
          <w:rFonts w:ascii="Times New Roman" w:hAnsi="Times New Roman" w:cs="Times New Roman"/>
          <w:color w:val="000000"/>
          <w:sz w:val="20"/>
        </w:rPr>
        <w:t xml:space="preserve">king </w:t>
      </w:r>
      <w:r>
        <w:rPr>
          <w:rFonts w:ascii="Times New Roman" w:hAnsi="Times New Roman" w:cs="Times New Roman"/>
          <w:color w:val="0000FF"/>
          <w:sz w:val="20"/>
        </w:rPr>
        <w:t>Motrin</w:t>
      </w:r>
      <w:r>
        <w:rPr>
          <w:rFonts w:ascii="Times New Roman" w:hAnsi="Times New Roman" w:cs="Times New Roman"/>
          <w:color w:val="000000"/>
          <w:sz w:val="20"/>
        </w:rPr>
        <w:t xml:space="preserve">, an over-the-counter </w:t>
      </w:r>
      <w:r>
        <w:rPr>
          <w:rFonts w:ascii="Times New Roman" w:hAnsi="Times New Roman" w:cs="Times New Roman"/>
          <w:color w:val="0000FF"/>
          <w:sz w:val="20"/>
        </w:rPr>
        <w:t>ibuprofen</w:t>
      </w:r>
      <w:r>
        <w:rPr>
          <w:rFonts w:ascii="Times New Roman" w:hAnsi="Times New Roman" w:cs="Times New Roman"/>
          <w:color w:val="000000"/>
          <w:sz w:val="20"/>
        </w:rPr>
        <w:t xml:space="preserve"> medication. (</w:t>
      </w:r>
      <w:r>
        <w:rPr>
          <w:rFonts w:ascii="Times New Roman" w:hAnsi="Times New Roman" w:cs="Times New Roman"/>
          <w:i/>
          <w:color w:val="0000FF"/>
          <w:sz w:val="20"/>
        </w:rPr>
        <w:t>Id.</w:t>
      </w:r>
      <w:r>
        <w:rPr>
          <w:rFonts w:ascii="Times New Roman" w:hAnsi="Times New Roman" w:cs="Times New Roman"/>
          <w:color w:val="0000FF"/>
          <w:sz w:val="20"/>
        </w:rPr>
        <w:t xml:space="preserve"> at p. 116</w:t>
      </w:r>
      <w:r>
        <w:rPr>
          <w:rFonts w:ascii="Times New Roman" w:hAnsi="Times New Roman" w:cs="Times New Roman"/>
          <w:color w:val="000000"/>
          <w:sz w:val="20"/>
        </w:rPr>
        <w:t>.) The plaintiff won a jury trial, but on appeal the court concluded that the plaintiff</w:t>
      </w:r>
      <w:r>
        <w:rPr>
          <w:rFonts w:ascii="Times New Roman" w:hAnsi="Times New Roman" w:cs="Times New Roman"/>
          <w:color w:val="000000"/>
          <w:sz w:val="20"/>
        </w:rPr>
        <w:t>’</w:t>
      </w:r>
      <w:r>
        <w:rPr>
          <w:rFonts w:ascii="Times New Roman" w:hAnsi="Times New Roman" w:cs="Times New Roman"/>
          <w:color w:val="000000"/>
          <w:sz w:val="20"/>
        </w:rPr>
        <w:t>s design defect claims were preempted. (</w:t>
      </w:r>
      <w:r>
        <w:rPr>
          <w:rFonts w:ascii="Times New Roman" w:hAnsi="Times New Roman" w:cs="Times New Roman"/>
          <w:i/>
          <w:color w:val="0000FF"/>
          <w:sz w:val="20"/>
        </w:rPr>
        <w:t>Id.</w:t>
      </w:r>
      <w:r>
        <w:rPr>
          <w:rFonts w:ascii="Times New Roman" w:hAnsi="Times New Roman" w:cs="Times New Roman"/>
          <w:color w:val="0000FF"/>
          <w:sz w:val="20"/>
        </w:rPr>
        <w:t xml:space="preserve"> at p. 117</w:t>
      </w:r>
      <w:r>
        <w:rPr>
          <w:rFonts w:ascii="Times New Roman" w:hAnsi="Times New Roman" w:cs="Times New Roman"/>
          <w:color w:val="000000"/>
          <w:sz w:val="20"/>
        </w:rPr>
        <w:t xml:space="preserve">.) As a separate ground to reverse, the court </w:t>
      </w:r>
      <w:r>
        <w:rPr>
          <w:rFonts w:ascii="Times New Roman" w:hAnsi="Times New Roman" w:cs="Times New Roman"/>
          <w:color w:val="000000"/>
          <w:sz w:val="20"/>
        </w:rPr>
        <w:t xml:space="preserve">also held that the consumer-expectations test should not have been applied because the plaintiff had </w:t>
      </w:r>
      <w:r>
        <w:rPr>
          <w:rFonts w:ascii="Times New Roman" w:hAnsi="Times New Roman" w:cs="Times New Roman"/>
          <w:color w:val="000000"/>
          <w:sz w:val="20"/>
        </w:rPr>
        <w:t>“</w:t>
      </w:r>
      <w:r>
        <w:rPr>
          <w:rFonts w:ascii="Times New Roman" w:hAnsi="Times New Roman" w:cs="Times New Roman"/>
          <w:color w:val="000000"/>
          <w:sz w:val="20"/>
        </w:rPr>
        <w:t xml:space="preserve">an </w:t>
      </w:r>
      <w:r>
        <w:rPr>
          <w:rFonts w:ascii="Times New Roman" w:hAnsi="Times New Roman" w:cs="Times New Roman"/>
          <w:color w:val="000000"/>
          <w:sz w:val="20"/>
        </w:rPr>
        <w:t>‘</w:t>
      </w:r>
      <w:r>
        <w:rPr>
          <w:rFonts w:ascii="Times New Roman" w:hAnsi="Times New Roman" w:cs="Times New Roman"/>
          <w:color w:val="000000"/>
          <w:sz w:val="20"/>
        </w:rPr>
        <w:t>idiosyncratic</w:t>
      </w:r>
      <w:r>
        <w:rPr>
          <w:rFonts w:ascii="Times New Roman" w:hAnsi="Times New Roman" w:cs="Times New Roman"/>
          <w:color w:val="000000"/>
          <w:sz w:val="20"/>
        </w:rPr>
        <w:t>’</w:t>
      </w:r>
      <w:r>
        <w:rPr>
          <w:rFonts w:ascii="Times New Roman" w:hAnsi="Times New Roman" w:cs="Times New Roman"/>
          <w:color w:val="000000"/>
          <w:sz w:val="20"/>
        </w:rPr>
        <w:t xml:space="preserve"> side effect</w:t>
      </w:r>
      <w:r>
        <w:rPr>
          <w:rFonts w:ascii="Times New Roman" w:hAnsi="Times New Roman" w:cs="Times New Roman"/>
          <w:color w:val="000000"/>
          <w:sz w:val="20"/>
        </w:rPr>
        <w:t>”</w:t>
      </w:r>
      <w:r>
        <w:rPr>
          <w:rFonts w:ascii="Times New Roman" w:hAnsi="Times New Roman" w:cs="Times New Roman"/>
          <w:color w:val="000000"/>
          <w:sz w:val="20"/>
        </w:rPr>
        <w:t xml:space="preserve"> that required expert testimony to explain. (</w:t>
      </w:r>
      <w:r>
        <w:rPr>
          <w:rFonts w:ascii="Times New Roman" w:hAnsi="Times New Roman" w:cs="Times New Roman"/>
          <w:i/>
          <w:color w:val="0000FF"/>
          <w:sz w:val="20"/>
        </w:rPr>
        <w:t>Id.</w:t>
      </w:r>
      <w:r>
        <w:rPr>
          <w:rFonts w:ascii="Times New Roman" w:hAnsi="Times New Roman" w:cs="Times New Roman"/>
          <w:color w:val="0000FF"/>
          <w:sz w:val="20"/>
        </w:rPr>
        <w:t xml:space="preserve"> at pp. 117, 160</w:t>
      </w:r>
      <w:r>
        <w:rPr>
          <w:rFonts w:ascii="Times New Roman" w:hAnsi="Times New Roman" w:cs="Times New Roman"/>
          <w:color w:val="000000"/>
          <w:sz w:val="20"/>
        </w:rPr>
        <w:t>.) The court noted that the trial court had repeatedly sust</w:t>
      </w:r>
      <w:r>
        <w:rPr>
          <w:rFonts w:ascii="Times New Roman" w:hAnsi="Times New Roman" w:cs="Times New Roman"/>
          <w:color w:val="000000"/>
          <w:sz w:val="20"/>
        </w:rPr>
        <w:t>ained objections and admonished the plaintiffs</w:t>
      </w:r>
      <w:r>
        <w:rPr>
          <w:rFonts w:ascii="Times New Roman" w:hAnsi="Times New Roman" w:cs="Times New Roman"/>
          <w:color w:val="000000"/>
          <w:sz w:val="20"/>
        </w:rPr>
        <w:t>’</w:t>
      </w:r>
      <w:r>
        <w:rPr>
          <w:rFonts w:ascii="Times New Roman" w:hAnsi="Times New Roman" w:cs="Times New Roman"/>
          <w:color w:val="000000"/>
          <w:sz w:val="20"/>
        </w:rPr>
        <w:t xml:space="preserve"> counsel not to solicit expert testimony about the consumer-expectations test. (</w:t>
      </w:r>
      <w:r>
        <w:rPr>
          <w:rFonts w:ascii="Times New Roman" w:hAnsi="Times New Roman" w:cs="Times New Roman"/>
          <w:i/>
          <w:color w:val="0000FF"/>
          <w:sz w:val="20"/>
        </w:rPr>
        <w:t>Id.</w:t>
      </w:r>
      <w:r>
        <w:rPr>
          <w:rFonts w:ascii="Times New Roman" w:hAnsi="Times New Roman" w:cs="Times New Roman"/>
          <w:color w:val="0000FF"/>
          <w:sz w:val="20"/>
        </w:rPr>
        <w:t xml:space="preserve"> at p. 159</w:t>
      </w:r>
      <w:r>
        <w:rPr>
          <w:rFonts w:ascii="Times New Roman" w:hAnsi="Times New Roman" w:cs="Times New Roman"/>
          <w:color w:val="000000"/>
          <w:sz w:val="20"/>
        </w:rPr>
        <w:t>.) When proceeding on this theory, a plaintiff should present non-expert testimony about the features of the product</w:t>
      </w:r>
      <w:r>
        <w:rPr>
          <w:rFonts w:ascii="Times New Roman" w:hAnsi="Times New Roman" w:cs="Times New Roman"/>
          <w:color w:val="000000"/>
          <w:sz w:val="20"/>
        </w:rPr>
        <w:t xml:space="preserve">, according to </w:t>
      </w:r>
      <w:r>
        <w:rPr>
          <w:rFonts w:ascii="Times New Roman" w:hAnsi="Times New Roman" w:cs="Times New Roman"/>
          <w:i/>
          <w:color w:val="000000"/>
          <w:sz w:val="20"/>
        </w:rPr>
        <w:t>Trejo</w:t>
      </w:r>
      <w:r>
        <w:rPr>
          <w:rFonts w:ascii="Times New Roman" w:hAnsi="Times New Roman" w:cs="Times New Roman"/>
          <w:color w:val="000000"/>
          <w:sz w:val="20"/>
        </w:rPr>
        <w:t>. (</w:t>
      </w:r>
      <w:r>
        <w:rPr>
          <w:rFonts w:ascii="Times New Roman" w:hAnsi="Times New Roman" w:cs="Times New Roman"/>
          <w:i/>
          <w:color w:val="0000FF"/>
          <w:sz w:val="20"/>
        </w:rPr>
        <w:t>Id.</w:t>
      </w:r>
      <w:r>
        <w:rPr>
          <w:rFonts w:ascii="Times New Roman" w:hAnsi="Times New Roman" w:cs="Times New Roman"/>
          <w:color w:val="0000FF"/>
          <w:sz w:val="20"/>
        </w:rPr>
        <w:t xml:space="preserve"> at p. 160</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Here, Johnson presented such non-expert testimony when he testified that he received safety training to become certified in applying Ranger Pro spray and was told </w:t>
      </w:r>
      <w:r>
        <w:rPr>
          <w:rFonts w:ascii="Times New Roman" w:hAnsi="Times New Roman" w:cs="Times New Roman"/>
          <w:color w:val="000000"/>
          <w:sz w:val="20"/>
        </w:rPr>
        <w:t>“</w:t>
      </w:r>
      <w:r>
        <w:rPr>
          <w:rFonts w:ascii="Times New Roman" w:hAnsi="Times New Roman" w:cs="Times New Roman"/>
          <w:color w:val="000000"/>
          <w:sz w:val="20"/>
        </w:rPr>
        <w:t>you don</w:t>
      </w:r>
      <w:r>
        <w:rPr>
          <w:rFonts w:ascii="Times New Roman" w:hAnsi="Times New Roman" w:cs="Times New Roman"/>
          <w:color w:val="000000"/>
          <w:sz w:val="20"/>
        </w:rPr>
        <w:t>’</w:t>
      </w:r>
      <w:r>
        <w:rPr>
          <w:rFonts w:ascii="Times New Roman" w:hAnsi="Times New Roman" w:cs="Times New Roman"/>
          <w:color w:val="000000"/>
          <w:sz w:val="20"/>
        </w:rPr>
        <w:t>t have to worry too much about it.</w:t>
      </w:r>
      <w:r>
        <w:rPr>
          <w:rFonts w:ascii="Times New Roman" w:hAnsi="Times New Roman" w:cs="Times New Roman"/>
          <w:color w:val="000000"/>
          <w:sz w:val="20"/>
        </w:rPr>
        <w:t>”</w:t>
      </w:r>
      <w:r>
        <w:rPr>
          <w:rFonts w:ascii="Times New Roman" w:hAnsi="Times New Roman" w:cs="Times New Roman"/>
          <w:color w:val="000000"/>
          <w:sz w:val="20"/>
        </w:rPr>
        <w:t xml:space="preserve"> And Mon</w:t>
      </w:r>
      <w:r>
        <w:rPr>
          <w:rFonts w:ascii="Times New Roman" w:hAnsi="Times New Roman" w:cs="Times New Roman"/>
          <w:color w:val="000000"/>
          <w:sz w:val="20"/>
        </w:rPr>
        <w:t>santo directs us to no expert testimony (admitted with or without objection) about Johnson</w:t>
      </w:r>
      <w:r>
        <w:rPr>
          <w:rFonts w:ascii="Times New Roman" w:hAnsi="Times New Roman" w:cs="Times New Roman"/>
          <w:color w:val="000000"/>
          <w:sz w:val="20"/>
        </w:rPr>
        <w:t>’</w:t>
      </w:r>
      <w:r>
        <w:rPr>
          <w:rFonts w:ascii="Times New Roman" w:hAnsi="Times New Roman" w:cs="Times New Roman"/>
          <w:color w:val="000000"/>
          <w:sz w:val="20"/>
        </w:rPr>
        <w:t>s expectations. Instead, it points to the expert testimony that was presented on the issue of causation. Again, both sides provided abundant expert testimony about w</w:t>
      </w:r>
      <w:r>
        <w:rPr>
          <w:rFonts w:ascii="Times New Roman" w:hAnsi="Times New Roman" w:cs="Times New Roman"/>
          <w:color w:val="000000"/>
          <w:sz w:val="20"/>
        </w:rPr>
        <w:t>hether Roundup products caused Johnson</w:t>
      </w:r>
      <w:r>
        <w:rPr>
          <w:rFonts w:ascii="Times New Roman" w:hAnsi="Times New Roman" w:cs="Times New Roman"/>
          <w:color w:val="000000"/>
          <w:sz w:val="20"/>
        </w:rPr>
        <w:t>’</w:t>
      </w:r>
      <w:r>
        <w:rPr>
          <w:rFonts w:ascii="Times New Roman" w:hAnsi="Times New Roman" w:cs="Times New Roman"/>
          <w:color w:val="000000"/>
          <w:sz w:val="20"/>
        </w:rPr>
        <w:t xml:space="preserve">s </w:t>
      </w:r>
      <w:r>
        <w:rPr>
          <w:rFonts w:ascii="Times New Roman" w:hAnsi="Times New Roman" w:cs="Times New Roman"/>
          <w:color w:val="0000FF"/>
          <w:sz w:val="20"/>
        </w:rPr>
        <w:t>cancer</w:t>
      </w:r>
      <w:r>
        <w:rPr>
          <w:rFonts w:ascii="Times New Roman" w:hAnsi="Times New Roman" w:cs="Times New Roman"/>
          <w:color w:val="000000"/>
          <w:sz w:val="20"/>
        </w:rPr>
        <w:t xml:space="preserve">. But unlike expert testimony needed to explain the </w:t>
      </w:r>
      <w:r>
        <w:rPr>
          <w:rFonts w:ascii="Times New Roman" w:hAnsi="Times New Roman" w:cs="Times New Roman"/>
          <w:color w:val="000000"/>
          <w:sz w:val="20"/>
        </w:rPr>
        <w:t>“</w:t>
      </w:r>
      <w:r>
        <w:rPr>
          <w:rFonts w:ascii="Times New Roman" w:hAnsi="Times New Roman" w:cs="Times New Roman"/>
          <w:color w:val="000000"/>
          <w:sz w:val="20"/>
        </w:rPr>
        <w:t>idiosyncratic reactions</w:t>
      </w:r>
      <w:r>
        <w:rPr>
          <w:rFonts w:ascii="Times New Roman" w:hAnsi="Times New Roman" w:cs="Times New Roman"/>
          <w:color w:val="000000"/>
          <w:sz w:val="20"/>
        </w:rPr>
        <w:t>”</w:t>
      </w:r>
      <w:r>
        <w:rPr>
          <w:rFonts w:ascii="Times New Roman" w:hAnsi="Times New Roman" w:cs="Times New Roman"/>
          <w:color w:val="000000"/>
          <w:sz w:val="20"/>
        </w:rPr>
        <w:t xml:space="preserve"> to the products at issue in </w:t>
      </w:r>
      <w:r>
        <w:rPr>
          <w:rFonts w:ascii="Times New Roman" w:hAnsi="Times New Roman" w:cs="Times New Roman"/>
          <w:i/>
          <w:color w:val="0000FF"/>
          <w:sz w:val="20"/>
        </w:rPr>
        <w:t>Morson v. Superior Court</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90 Cal.App.4th at page 795</w:t>
      </w:r>
      <w:r>
        <w:rPr>
          <w:rFonts w:ascii="Times New Roman" w:hAnsi="Times New Roman" w:cs="Times New Roman"/>
          <w:color w:val="000000"/>
          <w:sz w:val="20"/>
        </w:rPr>
        <w:t xml:space="preserve">, and the </w:t>
      </w:r>
      <w:r>
        <w:rPr>
          <w:rFonts w:ascii="Times New Roman" w:hAnsi="Times New Roman" w:cs="Times New Roman"/>
          <w:color w:val="000000"/>
          <w:sz w:val="20"/>
        </w:rPr>
        <w:t>“</w:t>
      </w:r>
      <w:r>
        <w:rPr>
          <w:rFonts w:ascii="Times New Roman" w:hAnsi="Times New Roman" w:cs="Times New Roman"/>
          <w:color w:val="000000"/>
          <w:sz w:val="20"/>
        </w:rPr>
        <w:t>unusual reaction</w:t>
      </w:r>
      <w:r>
        <w:rPr>
          <w:rFonts w:ascii="Times New Roman" w:hAnsi="Times New Roman" w:cs="Times New Roman"/>
          <w:color w:val="000000"/>
          <w:sz w:val="20"/>
        </w:rPr>
        <w:t>”</w:t>
      </w:r>
      <w:r>
        <w:rPr>
          <w:rFonts w:ascii="Times New Roman" w:hAnsi="Times New Roman" w:cs="Times New Roman"/>
          <w:color w:val="000000"/>
          <w:sz w:val="20"/>
        </w:rPr>
        <w:t xml:space="preserve"> that the plaint</w:t>
      </w:r>
      <w:r>
        <w:rPr>
          <w:rFonts w:ascii="Times New Roman" w:hAnsi="Times New Roman" w:cs="Times New Roman"/>
          <w:color w:val="000000"/>
          <w:sz w:val="20"/>
        </w:rPr>
        <w:t xml:space="preserve">iff suffered in </w:t>
      </w:r>
      <w:r>
        <w:rPr>
          <w:rFonts w:ascii="Times New Roman" w:hAnsi="Times New Roman" w:cs="Times New Roman"/>
          <w:i/>
          <w:color w:val="0000FF"/>
          <w:sz w:val="20"/>
        </w:rPr>
        <w:t>Trejo v. Johnson &amp; Johnson</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xml:space="preserve">, 13 </w:t>
      </w:r>
      <w:r>
        <w:rPr>
          <w:rFonts w:ascii="Times New Roman" w:hAnsi="Times New Roman" w:cs="Times New Roman"/>
          <w:color w:val="0000FF"/>
          <w:sz w:val="20"/>
        </w:rPr>
        <w:lastRenderedPageBreak/>
        <w:t>Cal.App.5th at page 160</w:t>
      </w:r>
      <w:r>
        <w:rPr>
          <w:rFonts w:ascii="Times New Roman" w:hAnsi="Times New Roman" w:cs="Times New Roman"/>
          <w:color w:val="000000"/>
          <w:sz w:val="20"/>
        </w:rPr>
        <w:t xml:space="preserve">, here it was not necessary to explain a </w:t>
      </w:r>
      <w:r>
        <w:rPr>
          <w:rFonts w:ascii="Times New Roman" w:hAnsi="Times New Roman" w:cs="Times New Roman"/>
          <w:color w:val="0000FF"/>
          <w:sz w:val="20"/>
        </w:rPr>
        <w:t>cancer diagnosis</w:t>
      </w:r>
      <w:r>
        <w:rPr>
          <w:rFonts w:ascii="Times New Roman" w:hAnsi="Times New Roman" w:cs="Times New Roman"/>
          <w:color w:val="000000"/>
          <w:sz w:val="20"/>
        </w:rPr>
        <w:t xml:space="preserve"> following the application of herbicide, something within a layperson</w:t>
      </w:r>
      <w:r>
        <w:rPr>
          <w:rFonts w:ascii="Times New Roman" w:hAnsi="Times New Roman" w:cs="Times New Roman"/>
          <w:color w:val="000000"/>
          <w:sz w:val="20"/>
        </w:rPr>
        <w:t>’</w:t>
      </w:r>
      <w:r>
        <w:rPr>
          <w:rFonts w:ascii="Times New Roman" w:hAnsi="Times New Roman" w:cs="Times New Roman"/>
          <w:color w:val="000000"/>
          <w:sz w:val="20"/>
        </w:rPr>
        <w:t>s experience. The trial court did not err in allowing Johnson to proceed on a consumer-expectations theory.</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29" w:name="co_anchor_I2f571631cad611eaad728cad1da01"/>
      <w:bookmarkEnd w:id="29"/>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600" w:after="200"/>
        <w:jc w:val="center"/>
        <w:rPr>
          <w:rFonts w:ascii="Times New Roman" w:hAnsi="Times New Roman" w:cs="Times New Roman"/>
          <w:color w:val="000000"/>
          <w:sz w:val="20"/>
        </w:rPr>
      </w:pPr>
      <w:r>
        <w:rPr>
          <w:rFonts w:ascii="Times New Roman" w:hAnsi="Times New Roman" w:cs="Times New Roman"/>
          <w:color w:val="000000"/>
          <w:sz w:val="20"/>
        </w:rPr>
        <w:t>3. Substantial Evidence Supports the Jury</w:t>
      </w:r>
      <w:r>
        <w:rPr>
          <w:rFonts w:ascii="Times New Roman" w:hAnsi="Times New Roman" w:cs="Times New Roman"/>
          <w:color w:val="000000"/>
          <w:sz w:val="20"/>
        </w:rPr>
        <w:t>’</w:t>
      </w:r>
      <w:r>
        <w:rPr>
          <w:rFonts w:ascii="Times New Roman" w:hAnsi="Times New Roman" w:cs="Times New Roman"/>
          <w:color w:val="000000"/>
          <w:sz w:val="20"/>
        </w:rPr>
        <w:t>s Causation Finding.</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M</w:t>
      </w:r>
      <w:r>
        <w:rPr>
          <w:rFonts w:ascii="Times New Roman" w:hAnsi="Times New Roman" w:cs="Times New Roman"/>
          <w:color w:val="000000"/>
          <w:sz w:val="20"/>
        </w:rPr>
        <w:t>onsanto contends that the judgment must be reversed because there is no substantial evidence of causation. More precisely, it argues that Johnson failed to meet his burden to show that Roundup products were a substantial factor in bringing about his injury</w:t>
      </w:r>
      <w:r>
        <w:rPr>
          <w:rFonts w:ascii="Times New Roman" w:hAnsi="Times New Roman" w:cs="Times New Roman"/>
          <w:color w:val="000000"/>
          <w:sz w:val="20"/>
        </w:rPr>
        <w:t xml:space="preserve">. (See </w:t>
      </w:r>
      <w:r>
        <w:rPr>
          <w:rFonts w:ascii="Times New Roman" w:hAnsi="Times New Roman" w:cs="Times New Roman"/>
          <w:i/>
          <w:color w:val="0000FF"/>
          <w:sz w:val="20"/>
        </w:rPr>
        <w:t>Whiteley v. Philip Morris, Inc.</w:t>
      </w:r>
      <w:r>
        <w:rPr>
          <w:rFonts w:ascii="Times New Roman" w:hAnsi="Times New Roman" w:cs="Times New Roman"/>
          <w:color w:val="0000FF"/>
          <w:sz w:val="20"/>
        </w:rPr>
        <w:t xml:space="preserve"> (2004) 117 Cal.App.4th 635, 696</w:t>
      </w:r>
      <w:r>
        <w:rPr>
          <w:rFonts w:ascii="Times New Roman" w:hAnsi="Times New Roman" w:cs="Times New Roman"/>
          <w:color w:val="000000"/>
          <w:sz w:val="20"/>
        </w:rPr>
        <w:t>.) We conclude otherwise.</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w:t>
      </w:r>
      <w:r>
        <w:rPr>
          <w:rFonts w:ascii="Times New Roman" w:hAnsi="Times New Roman" w:cs="Times New Roman"/>
          <w:color w:val="000000"/>
          <w:sz w:val="20"/>
        </w:rPr>
        <w:t>The law is well settled that in a personal injury action causation must be proven within a reasonable medical probability based upon competent expert testimony. Mere possibility alone is insufficient to establish a prima facie case. [Citations.] That there</w:t>
      </w:r>
      <w:r>
        <w:rPr>
          <w:rFonts w:ascii="Times New Roman" w:hAnsi="Times New Roman" w:cs="Times New Roman"/>
          <w:color w:val="000000"/>
          <w:sz w:val="20"/>
        </w:rPr>
        <w:t xml:space="preserve"> is a distinction between a reasonable medical </w:t>
      </w:r>
      <w:r>
        <w:rPr>
          <w:rFonts w:ascii="Times New Roman" w:hAnsi="Times New Roman" w:cs="Times New Roman"/>
          <w:color w:val="000000"/>
          <w:sz w:val="20"/>
        </w:rPr>
        <w:t>‘</w:t>
      </w:r>
      <w:r>
        <w:rPr>
          <w:rFonts w:ascii="Times New Roman" w:hAnsi="Times New Roman" w:cs="Times New Roman"/>
          <w:color w:val="000000"/>
          <w:sz w:val="20"/>
        </w:rPr>
        <w:t>probability</w:t>
      </w:r>
      <w:r>
        <w:rPr>
          <w:rFonts w:ascii="Times New Roman" w:hAnsi="Times New Roman" w:cs="Times New Roman"/>
          <w:color w:val="000000"/>
          <w:sz w:val="20"/>
        </w:rPr>
        <w:t>’</w:t>
      </w:r>
      <w:r>
        <w:rPr>
          <w:rFonts w:ascii="Times New Roman" w:hAnsi="Times New Roman" w:cs="Times New Roman"/>
          <w:color w:val="000000"/>
          <w:sz w:val="20"/>
        </w:rPr>
        <w:t xml:space="preserve"> and a medical </w:t>
      </w:r>
      <w:r>
        <w:rPr>
          <w:rFonts w:ascii="Times New Roman" w:hAnsi="Times New Roman" w:cs="Times New Roman"/>
          <w:color w:val="000000"/>
          <w:sz w:val="20"/>
        </w:rPr>
        <w:t>‘</w:t>
      </w:r>
      <w:r>
        <w:rPr>
          <w:rFonts w:ascii="Times New Roman" w:hAnsi="Times New Roman" w:cs="Times New Roman"/>
          <w:color w:val="000000"/>
          <w:sz w:val="20"/>
        </w:rPr>
        <w:t>possibility</w:t>
      </w:r>
      <w:r>
        <w:rPr>
          <w:rFonts w:ascii="Times New Roman" w:hAnsi="Times New Roman" w:cs="Times New Roman"/>
          <w:color w:val="000000"/>
          <w:sz w:val="20"/>
        </w:rPr>
        <w:t>’</w:t>
      </w:r>
      <w:r>
        <w:rPr>
          <w:rFonts w:ascii="Times New Roman" w:hAnsi="Times New Roman" w:cs="Times New Roman"/>
          <w:color w:val="000000"/>
          <w:sz w:val="20"/>
        </w:rPr>
        <w:t xml:space="preserve"> needs little discussion. There can be many possible </w:t>
      </w:r>
      <w:r>
        <w:rPr>
          <w:rFonts w:ascii="Times New Roman" w:hAnsi="Times New Roman" w:cs="Times New Roman"/>
          <w:color w:val="000000"/>
          <w:sz w:val="20"/>
        </w:rPr>
        <w:t>‘</w:t>
      </w:r>
      <w:r>
        <w:rPr>
          <w:rFonts w:ascii="Times New Roman" w:hAnsi="Times New Roman" w:cs="Times New Roman"/>
          <w:color w:val="000000"/>
          <w:sz w:val="20"/>
        </w:rPr>
        <w:t>causes,</w:t>
      </w:r>
      <w:r>
        <w:rPr>
          <w:rFonts w:ascii="Times New Roman" w:hAnsi="Times New Roman" w:cs="Times New Roman"/>
          <w:color w:val="000000"/>
          <w:sz w:val="20"/>
        </w:rPr>
        <w:t>’</w:t>
      </w:r>
      <w:r>
        <w:rPr>
          <w:rFonts w:ascii="Times New Roman" w:hAnsi="Times New Roman" w:cs="Times New Roman"/>
          <w:color w:val="000000"/>
          <w:sz w:val="20"/>
        </w:rPr>
        <w:t xml:space="preserve"> indeed, an infinite number of circumstances which can produce an injury or disease. A possible cause only</w:t>
      </w:r>
      <w:r>
        <w:rPr>
          <w:rFonts w:ascii="Times New Roman" w:hAnsi="Times New Roman" w:cs="Times New Roman"/>
          <w:color w:val="000000"/>
          <w:sz w:val="20"/>
        </w:rPr>
        <w:t xml:space="preserve"> becomes </w:t>
      </w:r>
      <w:r>
        <w:rPr>
          <w:rFonts w:ascii="Times New Roman" w:hAnsi="Times New Roman" w:cs="Times New Roman"/>
          <w:color w:val="000000"/>
          <w:sz w:val="20"/>
        </w:rPr>
        <w:t>‘</w:t>
      </w:r>
      <w:r>
        <w:rPr>
          <w:rFonts w:ascii="Times New Roman" w:hAnsi="Times New Roman" w:cs="Times New Roman"/>
          <w:color w:val="000000"/>
          <w:sz w:val="20"/>
        </w:rPr>
        <w:t>probable</w:t>
      </w:r>
      <w:r>
        <w:rPr>
          <w:rFonts w:ascii="Times New Roman" w:hAnsi="Times New Roman" w:cs="Times New Roman"/>
          <w:color w:val="000000"/>
          <w:sz w:val="20"/>
        </w:rPr>
        <w:t>’</w:t>
      </w:r>
      <w:r>
        <w:rPr>
          <w:rFonts w:ascii="Times New Roman" w:hAnsi="Times New Roman" w:cs="Times New Roman"/>
          <w:color w:val="000000"/>
          <w:sz w:val="20"/>
        </w:rPr>
        <w:t xml:space="preserve"> when, in the absence of other reasonable causal explanations, it becomes more likely than not that the injury was a result of its action.</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Jones v. Ortho Pharmaceutical Corp.</w:t>
      </w:r>
      <w:r>
        <w:rPr>
          <w:rFonts w:ascii="Times New Roman" w:hAnsi="Times New Roman" w:cs="Times New Roman"/>
          <w:color w:val="0000FF"/>
          <w:sz w:val="20"/>
        </w:rPr>
        <w:t xml:space="preserve"> (1985) 163 Cal.App.3d 396, 402</w:t>
      </w:r>
      <w:r>
        <w:rPr>
          <w:rFonts w:ascii="Times New Roman" w:hAnsi="Times New Roman" w:cs="Times New Roman"/>
          <w:color w:val="0000FF"/>
          <w:sz w:val="20"/>
        </w:rPr>
        <w:t>–</w:t>
      </w:r>
      <w:r>
        <w:rPr>
          <w:rFonts w:ascii="Times New Roman" w:hAnsi="Times New Roman" w:cs="Times New Roman"/>
          <w:color w:val="0000FF"/>
          <w:sz w:val="20"/>
        </w:rPr>
        <w:t>403</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Legal causation is g</w:t>
      </w:r>
      <w:r>
        <w:rPr>
          <w:rFonts w:ascii="Times New Roman" w:hAnsi="Times New Roman" w:cs="Times New Roman"/>
          <w:color w:val="000000"/>
          <w:sz w:val="20"/>
        </w:rPr>
        <w:t>enerally a question of fact to be determined by the jury ... unless, as a matter of law, the facts admit of only one conclusion.</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Whiteley v. Philip Morris, Inc.</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117 Cal.App.4th at p. 694</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30" w:name="co_pp_sp_999_13_1"/>
      <w:bookmarkEnd w:id="30"/>
      <w:r>
        <w:rPr>
          <w:rFonts w:ascii="Times New Roman" w:hAnsi="Times New Roman" w:cs="Times New Roman"/>
          <w:b/>
          <w:color w:val="000000"/>
          <w:sz w:val="20"/>
        </w:rPr>
        <w:t>*13</w:t>
      </w:r>
      <w:r>
        <w:rPr>
          <w:rFonts w:ascii="Times New Roman" w:hAnsi="Times New Roman" w:cs="Times New Roman"/>
          <w:color w:val="000000"/>
          <w:sz w:val="20"/>
        </w:rPr>
        <w:t xml:space="preserve"> In our view, Jo</w:t>
      </w:r>
      <w:r>
        <w:rPr>
          <w:rFonts w:ascii="Times New Roman" w:hAnsi="Times New Roman" w:cs="Times New Roman"/>
          <w:color w:val="000000"/>
          <w:sz w:val="20"/>
        </w:rPr>
        <w:t>hnson presented abundant</w:t>
      </w:r>
      <w:r>
        <w:rPr>
          <w:rFonts w:ascii="Times New Roman" w:hAnsi="Times New Roman" w:cs="Times New Roman"/>
          <w:color w:val="000000"/>
          <w:sz w:val="20"/>
        </w:rPr>
        <w:t>—</w:t>
      </w:r>
      <w:r>
        <w:rPr>
          <w:rFonts w:ascii="Times New Roman" w:hAnsi="Times New Roman" w:cs="Times New Roman"/>
          <w:color w:val="000000"/>
          <w:sz w:val="20"/>
        </w:rPr>
        <w:t>and certainly substantial</w:t>
      </w:r>
      <w:r>
        <w:rPr>
          <w:rFonts w:ascii="Times New Roman" w:hAnsi="Times New Roman" w:cs="Times New Roman"/>
          <w:color w:val="000000"/>
          <w:sz w:val="20"/>
        </w:rPr>
        <w:t>—</w:t>
      </w:r>
      <w:r>
        <w:rPr>
          <w:rFonts w:ascii="Times New Roman" w:hAnsi="Times New Roman" w:cs="Times New Roman"/>
          <w:color w:val="000000"/>
          <w:sz w:val="20"/>
        </w:rPr>
        <w:t xml:space="preserve">evidence that glyphosate, together with the other ingredients in Roundup products, caused his </w:t>
      </w:r>
      <w:r>
        <w:rPr>
          <w:rFonts w:ascii="Times New Roman" w:hAnsi="Times New Roman" w:cs="Times New Roman"/>
          <w:color w:val="0000FF"/>
          <w:sz w:val="20"/>
        </w:rPr>
        <w:t>cancer</w:t>
      </w:r>
      <w:r>
        <w:rPr>
          <w:rFonts w:ascii="Times New Roman" w:hAnsi="Times New Roman" w:cs="Times New Roman"/>
          <w:color w:val="000000"/>
          <w:sz w:val="20"/>
        </w:rPr>
        <w:t xml:space="preserve">. Expert after expert provided evidence both that Roundup products are capable of causing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w:t>
      </w:r>
      <w:r>
        <w:rPr>
          <w:rFonts w:ascii="Times New Roman" w:hAnsi="Times New Roman" w:cs="Times New Roman"/>
          <w:color w:val="0000FF"/>
          <w:sz w:val="20"/>
        </w:rPr>
        <w:t>ymphoma</w:t>
      </w:r>
      <w:r>
        <w:rPr>
          <w:rFonts w:ascii="Times New Roman" w:hAnsi="Times New Roman" w:cs="Times New Roman"/>
          <w:color w:val="000000"/>
          <w:sz w:val="20"/>
        </w:rPr>
        <w:t xml:space="preserve"> (general causation) and caused Johnson</w:t>
      </w:r>
      <w:r>
        <w:rPr>
          <w:rFonts w:ascii="Times New Roman" w:hAnsi="Times New Roman" w:cs="Times New Roman"/>
          <w:color w:val="000000"/>
          <w:sz w:val="20"/>
        </w:rPr>
        <w:t>’</w:t>
      </w:r>
      <w:r>
        <w:rPr>
          <w:rFonts w:ascii="Times New Roman" w:hAnsi="Times New Roman" w:cs="Times New Roman"/>
          <w:color w:val="000000"/>
          <w:sz w:val="20"/>
        </w:rPr>
        <w:t xml:space="preserve">s </w:t>
      </w:r>
      <w:r>
        <w:rPr>
          <w:rFonts w:ascii="Times New Roman" w:hAnsi="Times New Roman" w:cs="Times New Roman"/>
          <w:color w:val="0000FF"/>
          <w:sz w:val="20"/>
        </w:rPr>
        <w:t>cancer</w:t>
      </w:r>
      <w:r>
        <w:rPr>
          <w:rFonts w:ascii="Times New Roman" w:hAnsi="Times New Roman" w:cs="Times New Roman"/>
          <w:color w:val="000000"/>
          <w:sz w:val="20"/>
        </w:rPr>
        <w:t xml:space="preserve"> in particular (specific causation). As we have mentioned, they testified that the IARC, a highly respected agency of the World Health Organization, had classified glyphosate as a probable human carcin</w:t>
      </w:r>
      <w:r>
        <w:rPr>
          <w:rFonts w:ascii="Times New Roman" w:hAnsi="Times New Roman" w:cs="Times New Roman"/>
          <w:color w:val="000000"/>
          <w:sz w:val="20"/>
        </w:rPr>
        <w:t xml:space="preserve">ogen. They further testified that to a reasonable degree of medical certainty, exposure to glyphosate causes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And two experts opined that Roundup products were a substantial contributing factor </w:t>
      </w:r>
      <w:r>
        <w:rPr>
          <w:rFonts w:ascii="Times New Roman" w:hAnsi="Times New Roman" w:cs="Times New Roman"/>
          <w:color w:val="000000"/>
          <w:sz w:val="20"/>
        </w:rPr>
        <w:t>in the development of Johnson</w:t>
      </w:r>
      <w:r>
        <w:rPr>
          <w:rFonts w:ascii="Times New Roman" w:hAnsi="Times New Roman" w:cs="Times New Roman"/>
          <w:color w:val="000000"/>
          <w:sz w:val="20"/>
        </w:rPr>
        <w:t>’</w:t>
      </w:r>
      <w:r>
        <w:rPr>
          <w:rFonts w:ascii="Times New Roman" w:hAnsi="Times New Roman" w:cs="Times New Roman"/>
          <w:color w:val="000000"/>
          <w:sz w:val="20"/>
        </w:rPr>
        <w:t xml:space="preserve">s </w:t>
      </w:r>
      <w:r>
        <w:rPr>
          <w:rFonts w:ascii="Times New Roman" w:hAnsi="Times New Roman" w:cs="Times New Roman"/>
          <w:color w:val="0000FF"/>
          <w:sz w:val="20"/>
        </w:rPr>
        <w:t>non-Hod</w:t>
      </w:r>
      <w:r>
        <w:rPr>
          <w:rFonts w:ascii="Times New Roman" w:hAnsi="Times New Roman" w:cs="Times New Roman"/>
          <w:color w:val="0000FF"/>
          <w:sz w:val="20"/>
        </w:rPr>
        <w:t>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given his heavy use of the product.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In arguing that Johnson failed to establish causation, Monsanto focuses narrowly on two aspects of Johnson</w:t>
      </w:r>
      <w:r>
        <w:rPr>
          <w:rFonts w:ascii="Times New Roman" w:hAnsi="Times New Roman" w:cs="Times New Roman"/>
          <w:color w:val="000000"/>
          <w:sz w:val="20"/>
        </w:rPr>
        <w:t>’</w:t>
      </w:r>
      <w:r>
        <w:rPr>
          <w:rFonts w:ascii="Times New Roman" w:hAnsi="Times New Roman" w:cs="Times New Roman"/>
          <w:color w:val="000000"/>
          <w:sz w:val="20"/>
        </w:rPr>
        <w:t xml:space="preserve">s expert testimony. Oncologist Nabhan opined that to a reasonable degree of medical certainty, </w:t>
      </w:r>
      <w:r>
        <w:rPr>
          <w:rFonts w:ascii="Times New Roman" w:hAnsi="Times New Roman" w:cs="Times New Roman"/>
          <w:color w:val="000000"/>
          <w:sz w:val="20"/>
        </w:rPr>
        <w:t xml:space="preserve">glyphosate causes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and Roundup products were a substantial contributing factor in the development of Johnson</w:t>
      </w:r>
      <w:r>
        <w:rPr>
          <w:rFonts w:ascii="Times New Roman" w:hAnsi="Times New Roman" w:cs="Times New Roman"/>
          <w:color w:val="000000"/>
          <w:sz w:val="20"/>
        </w:rPr>
        <w:t>’</w:t>
      </w:r>
      <w:r>
        <w:rPr>
          <w:rFonts w:ascii="Times New Roman" w:hAnsi="Times New Roman" w:cs="Times New Roman"/>
          <w:color w:val="000000"/>
          <w:sz w:val="20"/>
        </w:rPr>
        <w:t>s development of the disease. On cross-examination, however, Nabhan acknowledged that he was unable to identify a cause in t</w:t>
      </w:r>
      <w:r>
        <w:rPr>
          <w:rFonts w:ascii="Times New Roman" w:hAnsi="Times New Roman" w:cs="Times New Roman"/>
          <w:color w:val="000000"/>
          <w:sz w:val="20"/>
        </w:rPr>
        <w:t xml:space="preserve">he majority of cases of </w:t>
      </w:r>
      <w:r>
        <w:rPr>
          <w:rFonts w:ascii="Times New Roman" w:hAnsi="Times New Roman" w:cs="Times New Roman"/>
          <w:color w:val="0000FF"/>
          <w:sz w:val="20"/>
        </w:rPr>
        <w:t>mycosis fungoides</w:t>
      </w:r>
      <w:r>
        <w:rPr>
          <w:rFonts w:ascii="Times New Roman" w:hAnsi="Times New Roman" w:cs="Times New Roman"/>
          <w:color w:val="000000"/>
          <w:sz w:val="20"/>
        </w:rPr>
        <w:t xml:space="preserve"> (the type of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Johnson suffers). When asked if Johnson could have developed </w:t>
      </w:r>
      <w:r>
        <w:rPr>
          <w:rFonts w:ascii="Times New Roman" w:hAnsi="Times New Roman" w:cs="Times New Roman"/>
          <w:color w:val="0000FF"/>
          <w:sz w:val="20"/>
        </w:rPr>
        <w:t>mycosis fungoides</w:t>
      </w:r>
      <w:r>
        <w:rPr>
          <w:rFonts w:ascii="Times New Roman" w:hAnsi="Times New Roman" w:cs="Times New Roman"/>
          <w:color w:val="000000"/>
          <w:sz w:val="20"/>
        </w:rPr>
        <w:t xml:space="preserve"> even if he had not been exposed to glyphosate, Nabhan answered, </w:t>
      </w:r>
      <w:r>
        <w:rPr>
          <w:rFonts w:ascii="Times New Roman" w:hAnsi="Times New Roman" w:cs="Times New Roman"/>
          <w:color w:val="000000"/>
          <w:sz w:val="20"/>
        </w:rPr>
        <w:t>“</w:t>
      </w:r>
      <w:r>
        <w:rPr>
          <w:rFonts w:ascii="Times New Roman" w:hAnsi="Times New Roman" w:cs="Times New Roman"/>
          <w:color w:val="000000"/>
          <w:sz w:val="20"/>
        </w:rPr>
        <w:t>I do not believe so.</w:t>
      </w:r>
      <w:r>
        <w:rPr>
          <w:rFonts w:ascii="Times New Roman" w:hAnsi="Times New Roman" w:cs="Times New Roman"/>
          <w:color w:val="000000"/>
          <w:sz w:val="20"/>
        </w:rPr>
        <w:t>”</w:t>
      </w:r>
      <w:r>
        <w:rPr>
          <w:rFonts w:ascii="Times New Roman" w:hAnsi="Times New Roman" w:cs="Times New Roman"/>
          <w:color w:val="000000"/>
          <w:sz w:val="20"/>
        </w:rPr>
        <w:t xml:space="preserve"> Monsanto</w:t>
      </w:r>
      <w:r>
        <w:rPr>
          <w:rFonts w:ascii="Times New Roman" w:hAnsi="Times New Roman" w:cs="Times New Roman"/>
          <w:color w:val="000000"/>
          <w:sz w:val="20"/>
        </w:rPr>
        <w:t>’</w:t>
      </w:r>
      <w:r>
        <w:rPr>
          <w:rFonts w:ascii="Times New Roman" w:hAnsi="Times New Roman" w:cs="Times New Roman"/>
          <w:color w:val="000000"/>
          <w:sz w:val="20"/>
        </w:rPr>
        <w:t>s c</w:t>
      </w:r>
      <w:r>
        <w:rPr>
          <w:rFonts w:ascii="Times New Roman" w:hAnsi="Times New Roman" w:cs="Times New Roman"/>
          <w:color w:val="000000"/>
          <w:sz w:val="20"/>
        </w:rPr>
        <w:t>ounsel tried to impeach Nabhan with his deposition testimony that answered the same question, and Johnson</w:t>
      </w:r>
      <w:r>
        <w:rPr>
          <w:rFonts w:ascii="Times New Roman" w:hAnsi="Times New Roman" w:cs="Times New Roman"/>
          <w:color w:val="000000"/>
          <w:sz w:val="20"/>
        </w:rPr>
        <w:t>’</w:t>
      </w:r>
      <w:r>
        <w:rPr>
          <w:rFonts w:ascii="Times New Roman" w:hAnsi="Times New Roman" w:cs="Times New Roman"/>
          <w:color w:val="000000"/>
          <w:sz w:val="20"/>
        </w:rPr>
        <w:t xml:space="preserve">s counsel objected that the deposition excerpt was </w:t>
      </w:r>
      <w:r>
        <w:rPr>
          <w:rFonts w:ascii="Times New Roman" w:hAnsi="Times New Roman" w:cs="Times New Roman"/>
          <w:color w:val="000000"/>
          <w:sz w:val="20"/>
        </w:rPr>
        <w:t>“</w:t>
      </w:r>
      <w:r>
        <w:rPr>
          <w:rFonts w:ascii="Times New Roman" w:hAnsi="Times New Roman" w:cs="Times New Roman"/>
          <w:color w:val="000000"/>
          <w:sz w:val="20"/>
        </w:rPr>
        <w:t>not a full, complete, accurate description of what his actual testimony [was]. [Monsanto</w:t>
      </w:r>
      <w:r>
        <w:rPr>
          <w:rFonts w:ascii="Times New Roman" w:hAnsi="Times New Roman" w:cs="Times New Roman"/>
          <w:color w:val="000000"/>
          <w:sz w:val="20"/>
        </w:rPr>
        <w:t>’</w:t>
      </w:r>
      <w:r>
        <w:rPr>
          <w:rFonts w:ascii="Times New Roman" w:hAnsi="Times New Roman" w:cs="Times New Roman"/>
          <w:color w:val="000000"/>
          <w:sz w:val="20"/>
        </w:rPr>
        <w:t>s attorne</w:t>
      </w:r>
      <w:r>
        <w:rPr>
          <w:rFonts w:ascii="Times New Roman" w:hAnsi="Times New Roman" w:cs="Times New Roman"/>
          <w:color w:val="000000"/>
          <w:sz w:val="20"/>
        </w:rPr>
        <w:t>y] just wants to read the one particular question and answer. However, the next question[ ] [i]s directly related to the subject where [Nabhan] further explains exactly what his position is.</w:t>
      </w:r>
      <w:r>
        <w:rPr>
          <w:rFonts w:ascii="Times New Roman" w:hAnsi="Times New Roman" w:cs="Times New Roman"/>
          <w:color w:val="000000"/>
          <w:sz w:val="20"/>
        </w:rPr>
        <w:t>”</w:t>
      </w:r>
      <w:r>
        <w:rPr>
          <w:rFonts w:ascii="Times New Roman" w:hAnsi="Times New Roman" w:cs="Times New Roman"/>
          <w:color w:val="000000"/>
          <w:sz w:val="20"/>
        </w:rPr>
        <w:t xml:space="preserve"> The trial court overruled the objection, and Monsanto</w:t>
      </w:r>
      <w:r>
        <w:rPr>
          <w:rFonts w:ascii="Times New Roman" w:hAnsi="Times New Roman" w:cs="Times New Roman"/>
          <w:color w:val="000000"/>
          <w:sz w:val="20"/>
        </w:rPr>
        <w:t>’</w:t>
      </w:r>
      <w:r>
        <w:rPr>
          <w:rFonts w:ascii="Times New Roman" w:hAnsi="Times New Roman" w:cs="Times New Roman"/>
          <w:color w:val="000000"/>
          <w:sz w:val="20"/>
        </w:rPr>
        <w:t>s attorney</w:t>
      </w:r>
      <w:r>
        <w:rPr>
          <w:rFonts w:ascii="Times New Roman" w:hAnsi="Times New Roman" w:cs="Times New Roman"/>
          <w:color w:val="000000"/>
          <w:sz w:val="20"/>
        </w:rPr>
        <w:t xml:space="preserve"> asked Nabhan whether, at his deposition, he had testified, </w:t>
      </w:r>
      <w:r>
        <w:rPr>
          <w:rFonts w:ascii="Times New Roman" w:hAnsi="Times New Roman" w:cs="Times New Roman"/>
          <w:color w:val="000000"/>
          <w:sz w:val="20"/>
        </w:rPr>
        <w:t>“</w:t>
      </w:r>
      <w:r>
        <w:rPr>
          <w:rFonts w:ascii="Times New Roman" w:hAnsi="Times New Roman" w:cs="Times New Roman"/>
          <w:color w:val="000000"/>
          <w:sz w:val="20"/>
        </w:rPr>
        <w:t xml:space="preserve">Mr. Johnson could well be someone who would have developed </w:t>
      </w:r>
      <w:r>
        <w:rPr>
          <w:rFonts w:ascii="Times New Roman" w:hAnsi="Times New Roman" w:cs="Times New Roman"/>
          <w:color w:val="0000FF"/>
          <w:sz w:val="20"/>
        </w:rPr>
        <w:t>mycosis fungoides</w:t>
      </w:r>
      <w:r>
        <w:rPr>
          <w:rFonts w:ascii="Times New Roman" w:hAnsi="Times New Roman" w:cs="Times New Roman"/>
          <w:color w:val="000000"/>
          <w:sz w:val="20"/>
        </w:rPr>
        <w:t xml:space="preserve"> when he did, whether he was exposed to glyphosate or not for all [I] know.</w:t>
      </w:r>
      <w:r>
        <w:rPr>
          <w:rFonts w:ascii="Times New Roman" w:hAnsi="Times New Roman" w:cs="Times New Roman"/>
          <w:color w:val="000000"/>
          <w:sz w:val="20"/>
        </w:rPr>
        <w:t>”</w:t>
      </w:r>
      <w:r>
        <w:rPr>
          <w:rFonts w:ascii="Times New Roman" w:hAnsi="Times New Roman" w:cs="Times New Roman"/>
          <w:color w:val="000000"/>
          <w:sz w:val="20"/>
        </w:rPr>
        <w:t xml:space="preserve"> Nabhan explained his prior statement at tr</w:t>
      </w:r>
      <w:r>
        <w:rPr>
          <w:rFonts w:ascii="Times New Roman" w:hAnsi="Times New Roman" w:cs="Times New Roman"/>
          <w:color w:val="000000"/>
          <w:sz w:val="20"/>
        </w:rPr>
        <w:t xml:space="preserve">ial: </w:t>
      </w:r>
      <w:r>
        <w:rPr>
          <w:rFonts w:ascii="Times New Roman" w:hAnsi="Times New Roman" w:cs="Times New Roman"/>
          <w:color w:val="000000"/>
          <w:sz w:val="20"/>
        </w:rPr>
        <w:t>“</w:t>
      </w:r>
      <w:r>
        <w:rPr>
          <w:rFonts w:ascii="Times New Roman" w:hAnsi="Times New Roman" w:cs="Times New Roman"/>
          <w:color w:val="000000"/>
          <w:sz w:val="20"/>
        </w:rPr>
        <w:t>Yes. You can</w:t>
      </w:r>
      <w:r>
        <w:rPr>
          <w:rFonts w:ascii="Times New Roman" w:hAnsi="Times New Roman" w:cs="Times New Roman"/>
          <w:color w:val="000000"/>
          <w:sz w:val="20"/>
        </w:rPr>
        <w:t>’</w:t>
      </w:r>
      <w:r>
        <w:rPr>
          <w:rFonts w:ascii="Times New Roman" w:hAnsi="Times New Roman" w:cs="Times New Roman"/>
          <w:color w:val="000000"/>
          <w:sz w:val="20"/>
        </w:rPr>
        <w:t>t play crystal ball. You can</w:t>
      </w:r>
      <w:r>
        <w:rPr>
          <w:rFonts w:ascii="Times New Roman" w:hAnsi="Times New Roman" w:cs="Times New Roman"/>
          <w:color w:val="000000"/>
          <w:sz w:val="20"/>
        </w:rPr>
        <w:t>’</w:t>
      </w:r>
      <w:r>
        <w:rPr>
          <w:rFonts w:ascii="Times New Roman" w:hAnsi="Times New Roman" w:cs="Times New Roman"/>
          <w:color w:val="000000"/>
          <w:sz w:val="20"/>
        </w:rPr>
        <w:t>t really tell if somebody</w:t>
      </w:r>
      <w:r>
        <w:rPr>
          <w:rFonts w:ascii="Times New Roman" w:hAnsi="Times New Roman" w:cs="Times New Roman"/>
          <w:color w:val="000000"/>
          <w:sz w:val="20"/>
        </w:rPr>
        <w:t>—</w:t>
      </w:r>
      <w:r>
        <w:rPr>
          <w:rFonts w:ascii="Times New Roman" w:hAnsi="Times New Roman" w:cs="Times New Roman"/>
          <w:color w:val="000000"/>
          <w:sz w:val="20"/>
        </w:rPr>
        <w:t>I can</w:t>
      </w:r>
      <w:r>
        <w:rPr>
          <w:rFonts w:ascii="Times New Roman" w:hAnsi="Times New Roman" w:cs="Times New Roman"/>
          <w:color w:val="000000"/>
          <w:sz w:val="20"/>
        </w:rPr>
        <w:t>’</w:t>
      </w:r>
      <w:r>
        <w:rPr>
          <w:rFonts w:ascii="Times New Roman" w:hAnsi="Times New Roman" w:cs="Times New Roman"/>
          <w:color w:val="000000"/>
          <w:sz w:val="20"/>
        </w:rPr>
        <w:t>t tell if I</w:t>
      </w:r>
      <w:r>
        <w:rPr>
          <w:rFonts w:ascii="Times New Roman" w:hAnsi="Times New Roman" w:cs="Times New Roman"/>
          <w:color w:val="000000"/>
          <w:sz w:val="20"/>
        </w:rPr>
        <w:t>’</w:t>
      </w:r>
      <w:r>
        <w:rPr>
          <w:rFonts w:ascii="Times New Roman" w:hAnsi="Times New Roman" w:cs="Times New Roman"/>
          <w:color w:val="000000"/>
          <w:sz w:val="20"/>
        </w:rPr>
        <w:t xml:space="preserve">m going to develop </w:t>
      </w:r>
      <w:r>
        <w:rPr>
          <w:rFonts w:ascii="Times New Roman" w:hAnsi="Times New Roman" w:cs="Times New Roman"/>
          <w:color w:val="0000FF"/>
          <w:sz w:val="20"/>
        </w:rPr>
        <w:t>cancer</w:t>
      </w:r>
      <w:r>
        <w:rPr>
          <w:rFonts w:ascii="Times New Roman" w:hAnsi="Times New Roman" w:cs="Times New Roman"/>
          <w:color w:val="000000"/>
          <w:sz w:val="20"/>
        </w:rPr>
        <w:t xml:space="preserve"> today or not. I mean, how could you actually tell?</w:t>
      </w:r>
      <w:r>
        <w:rPr>
          <w:rFonts w:ascii="Times New Roman" w:hAnsi="Times New Roman" w:cs="Times New Roman"/>
          <w:color w:val="000000"/>
          <w:sz w:val="20"/>
        </w:rPr>
        <w:t>”</w:t>
      </w:r>
      <w:r>
        <w:rPr>
          <w:rFonts w:ascii="Times New Roman" w:hAnsi="Times New Roman" w:cs="Times New Roman"/>
          <w:color w:val="000000"/>
          <w:sz w:val="20"/>
        </w:rPr>
        <w:t xml:space="preserve"> On appeal, Monsanto mischaracterizes Nabhan</w:t>
      </w:r>
      <w:r>
        <w:rPr>
          <w:rFonts w:ascii="Times New Roman" w:hAnsi="Times New Roman" w:cs="Times New Roman"/>
          <w:color w:val="000000"/>
          <w:sz w:val="20"/>
        </w:rPr>
        <w:t>’</w:t>
      </w:r>
      <w:r>
        <w:rPr>
          <w:rFonts w:ascii="Times New Roman" w:hAnsi="Times New Roman" w:cs="Times New Roman"/>
          <w:color w:val="000000"/>
          <w:sz w:val="20"/>
        </w:rPr>
        <w:t>s deposition testimony as a concession tha</w:t>
      </w:r>
      <w:r>
        <w:rPr>
          <w:rFonts w:ascii="Times New Roman" w:hAnsi="Times New Roman" w:cs="Times New Roman"/>
          <w:color w:val="000000"/>
          <w:sz w:val="20"/>
        </w:rPr>
        <w:t xml:space="preserve">t glyphosate might not have caused his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When the testimony is read in context, however, it is clear what Nabhan was saying: He believed it was theoretically possible for Johnson to have developed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without having</w:t>
      </w:r>
      <w:r>
        <w:rPr>
          <w:rFonts w:ascii="Times New Roman" w:hAnsi="Times New Roman" w:cs="Times New Roman"/>
          <w:color w:val="000000"/>
          <w:sz w:val="20"/>
        </w:rPr>
        <w:t xml:space="preserve"> been exposed to glyphosate, but that is not what he thought actually happened.</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Monsanto also faults for Nabhan for </w:t>
      </w:r>
      <w:r>
        <w:rPr>
          <w:rFonts w:ascii="Times New Roman" w:hAnsi="Times New Roman" w:cs="Times New Roman"/>
          <w:color w:val="000000"/>
          <w:sz w:val="20"/>
        </w:rPr>
        <w:t>“</w:t>
      </w:r>
      <w:r>
        <w:rPr>
          <w:rFonts w:ascii="Times New Roman" w:hAnsi="Times New Roman" w:cs="Times New Roman"/>
          <w:color w:val="000000"/>
          <w:sz w:val="20"/>
        </w:rPr>
        <w:t>not properly rul[ing] out the possibility of an unknown cause</w:t>
      </w:r>
      <w:r>
        <w:rPr>
          <w:rFonts w:ascii="Times New Roman" w:hAnsi="Times New Roman" w:cs="Times New Roman"/>
          <w:color w:val="000000"/>
          <w:sz w:val="20"/>
        </w:rPr>
        <w:t>”</w:t>
      </w:r>
      <w:r>
        <w:rPr>
          <w:rFonts w:ascii="Times New Roman" w:hAnsi="Times New Roman" w:cs="Times New Roman"/>
          <w:color w:val="000000"/>
          <w:sz w:val="20"/>
        </w:rPr>
        <w:t xml:space="preserve"> of Johnson</w:t>
      </w:r>
      <w:r>
        <w:rPr>
          <w:rFonts w:ascii="Times New Roman" w:hAnsi="Times New Roman" w:cs="Times New Roman"/>
          <w:color w:val="000000"/>
          <w:sz w:val="20"/>
        </w:rPr>
        <w:t>’</w:t>
      </w:r>
      <w:r>
        <w:rPr>
          <w:rFonts w:ascii="Times New Roman" w:hAnsi="Times New Roman" w:cs="Times New Roman"/>
          <w:color w:val="000000"/>
          <w:sz w:val="20"/>
        </w:rPr>
        <w:t xml:space="preserve">s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but Monsanto again mischaracterizes N</w:t>
      </w:r>
      <w:r>
        <w:rPr>
          <w:rFonts w:ascii="Times New Roman" w:hAnsi="Times New Roman" w:cs="Times New Roman"/>
          <w:color w:val="000000"/>
          <w:sz w:val="20"/>
        </w:rPr>
        <w:t>abhan</w:t>
      </w:r>
      <w:r>
        <w:rPr>
          <w:rFonts w:ascii="Times New Roman" w:hAnsi="Times New Roman" w:cs="Times New Roman"/>
          <w:color w:val="000000"/>
          <w:sz w:val="20"/>
        </w:rPr>
        <w:t>’</w:t>
      </w:r>
      <w:r>
        <w:rPr>
          <w:rFonts w:ascii="Times New Roman" w:hAnsi="Times New Roman" w:cs="Times New Roman"/>
          <w:color w:val="000000"/>
          <w:sz w:val="20"/>
        </w:rPr>
        <w:t>s testimony. Nabhan repeatedly acknowledged on cross-examination that most of the time (in 80 to 90 percent of cases) the cause of a particular patient</w:t>
      </w:r>
      <w:r>
        <w:rPr>
          <w:rFonts w:ascii="Times New Roman" w:hAnsi="Times New Roman" w:cs="Times New Roman"/>
          <w:color w:val="000000"/>
          <w:sz w:val="20"/>
        </w:rPr>
        <w:t>’</w:t>
      </w:r>
      <w:r>
        <w:rPr>
          <w:rFonts w:ascii="Times New Roman" w:hAnsi="Times New Roman" w:cs="Times New Roman"/>
          <w:color w:val="000000"/>
          <w:sz w:val="20"/>
        </w:rPr>
        <w:t xml:space="preserve">s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is unknown. But he also emphasized that here, unlike in the majority of c</w:t>
      </w:r>
      <w:r>
        <w:rPr>
          <w:rFonts w:ascii="Times New Roman" w:hAnsi="Times New Roman" w:cs="Times New Roman"/>
          <w:color w:val="000000"/>
          <w:sz w:val="20"/>
        </w:rPr>
        <w:t xml:space="preserve">ases, he could rule out unknown causes because Johnson had been exposed to a </w:t>
      </w:r>
      <w:r>
        <w:rPr>
          <w:rFonts w:ascii="Times New Roman" w:hAnsi="Times New Roman" w:cs="Times New Roman"/>
          <w:color w:val="000000"/>
          <w:sz w:val="20"/>
        </w:rPr>
        <w:t>“</w:t>
      </w:r>
      <w:r>
        <w:rPr>
          <w:rFonts w:ascii="Times New Roman" w:hAnsi="Times New Roman" w:cs="Times New Roman"/>
          <w:color w:val="000000"/>
          <w:sz w:val="20"/>
        </w:rPr>
        <w:t xml:space="preserve">known carcinogen causing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w:t>
      </w:r>
      <w:r>
        <w:rPr>
          <w:rFonts w:ascii="Times New Roman" w:hAnsi="Times New Roman" w:cs="Times New Roman"/>
          <w:color w:val="000000"/>
          <w:sz w:val="20"/>
        </w:rPr>
        <w:t>”</w:t>
      </w:r>
      <w:r>
        <w:rPr>
          <w:rFonts w:ascii="Times New Roman" w:hAnsi="Times New Roman" w:cs="Times New Roman"/>
          <w:color w:val="000000"/>
          <w:sz w:val="20"/>
        </w:rPr>
        <w:t xml:space="preserve"> When pressed on how frequently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is idiopathic (of </w:t>
      </w:r>
      <w:r>
        <w:rPr>
          <w:rFonts w:ascii="Times New Roman" w:hAnsi="Times New Roman" w:cs="Times New Roman"/>
          <w:color w:val="000000"/>
          <w:sz w:val="20"/>
        </w:rPr>
        <w:lastRenderedPageBreak/>
        <w:t xml:space="preserve">unknown origin), Nabhan explained that </w:t>
      </w:r>
      <w:r>
        <w:rPr>
          <w:rFonts w:ascii="Times New Roman" w:hAnsi="Times New Roman" w:cs="Times New Roman"/>
          <w:color w:val="000000"/>
          <w:sz w:val="20"/>
        </w:rPr>
        <w:t>“</w:t>
      </w:r>
      <w:r>
        <w:rPr>
          <w:rFonts w:ascii="Times New Roman" w:hAnsi="Times New Roman" w:cs="Times New Roman"/>
          <w:color w:val="000000"/>
          <w:sz w:val="20"/>
        </w:rPr>
        <w:t>I have cared for</w:t>
      </w:r>
      <w:r>
        <w:rPr>
          <w:rFonts w:ascii="Times New Roman" w:hAnsi="Times New Roman" w:cs="Times New Roman"/>
          <w:color w:val="000000"/>
          <w:sz w:val="20"/>
        </w:rPr>
        <w:t xml:space="preserve"> patients</w:t>
      </w:r>
      <w:r>
        <w:rPr>
          <w:rFonts w:ascii="Times New Roman" w:hAnsi="Times New Roman" w:cs="Times New Roman"/>
          <w:color w:val="000000"/>
          <w:sz w:val="20"/>
        </w:rPr>
        <w:t>—</w:t>
      </w:r>
      <w:r>
        <w:rPr>
          <w:rFonts w:ascii="Times New Roman" w:hAnsi="Times New Roman" w:cs="Times New Roman"/>
          <w:color w:val="000000"/>
          <w:sz w:val="20"/>
        </w:rPr>
        <w:t xml:space="preserve">hundreds of patients of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where I</w:t>
      </w:r>
      <w:r>
        <w:rPr>
          <w:rFonts w:ascii="Times New Roman" w:hAnsi="Times New Roman" w:cs="Times New Roman"/>
          <w:color w:val="000000"/>
          <w:sz w:val="20"/>
        </w:rPr>
        <w:t>’</w:t>
      </w:r>
      <w:r>
        <w:rPr>
          <w:rFonts w:ascii="Times New Roman" w:hAnsi="Times New Roman" w:cs="Times New Roman"/>
          <w:color w:val="000000"/>
          <w:sz w:val="20"/>
        </w:rPr>
        <w:t>ve told them I don</w:t>
      </w:r>
      <w:r>
        <w:rPr>
          <w:rFonts w:ascii="Times New Roman" w:hAnsi="Times New Roman" w:cs="Times New Roman"/>
          <w:color w:val="000000"/>
          <w:sz w:val="20"/>
        </w:rPr>
        <w:t>’</w:t>
      </w:r>
      <w:r>
        <w:rPr>
          <w:rFonts w:ascii="Times New Roman" w:hAnsi="Times New Roman" w:cs="Times New Roman"/>
          <w:color w:val="000000"/>
          <w:sz w:val="20"/>
        </w:rPr>
        <w:t>t know why the disease happens, so, I mean, I know that for sure.... But there are situations that are different. There are scenarios where you are able to identify a parti</w:t>
      </w:r>
      <w:r>
        <w:rPr>
          <w:rFonts w:ascii="Times New Roman" w:hAnsi="Times New Roman" w:cs="Times New Roman"/>
          <w:color w:val="000000"/>
          <w:sz w:val="20"/>
        </w:rPr>
        <w:t>cular cause, and I think it</w:t>
      </w:r>
      <w:r>
        <w:rPr>
          <w:rFonts w:ascii="Times New Roman" w:hAnsi="Times New Roman" w:cs="Times New Roman"/>
          <w:color w:val="000000"/>
          <w:sz w:val="20"/>
        </w:rPr>
        <w:t>’</w:t>
      </w:r>
      <w:r>
        <w:rPr>
          <w:rFonts w:ascii="Times New Roman" w:hAnsi="Times New Roman" w:cs="Times New Roman"/>
          <w:color w:val="000000"/>
          <w:sz w:val="20"/>
        </w:rPr>
        <w:t>s your obligation if there</w:t>
      </w:r>
      <w:r>
        <w:rPr>
          <w:rFonts w:ascii="Times New Roman" w:hAnsi="Times New Roman" w:cs="Times New Roman"/>
          <w:color w:val="000000"/>
          <w:sz w:val="20"/>
        </w:rPr>
        <w:t>’</w:t>
      </w:r>
      <w:r>
        <w:rPr>
          <w:rFonts w:ascii="Times New Roman" w:hAnsi="Times New Roman" w:cs="Times New Roman"/>
          <w:color w:val="000000"/>
          <w:sz w:val="20"/>
        </w:rPr>
        <w:t xml:space="preserve">s a particular cause that you believe is substantially contributing to the disease to eliminate this, because you can modify a risk factor.... I mean, I never said that every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is </w:t>
      </w:r>
      <w:r>
        <w:rPr>
          <w:rFonts w:ascii="Times New Roman" w:hAnsi="Times New Roman" w:cs="Times New Roman"/>
          <w:color w:val="000000"/>
          <w:sz w:val="20"/>
        </w:rPr>
        <w:t>caused by Roundup.</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31" w:name="co_pp_sp_999_14_1"/>
      <w:bookmarkEnd w:id="31"/>
      <w:r>
        <w:rPr>
          <w:rFonts w:ascii="Times New Roman" w:hAnsi="Times New Roman" w:cs="Times New Roman"/>
          <w:b/>
          <w:color w:val="000000"/>
          <w:sz w:val="20"/>
        </w:rPr>
        <w:t>*14</w:t>
      </w:r>
      <w:r>
        <w:rPr>
          <w:rFonts w:ascii="Times New Roman" w:hAnsi="Times New Roman" w:cs="Times New Roman"/>
          <w:color w:val="000000"/>
          <w:sz w:val="20"/>
        </w:rPr>
        <w:t xml:space="preserve"> This case is thus distinguishable from the federal cases upon which Monsanto relies, where the experts were unable to expressly rule out the possibility of idiopathic causes and there were other r</w:t>
      </w:r>
      <w:r>
        <w:rPr>
          <w:rFonts w:ascii="Times New Roman" w:hAnsi="Times New Roman" w:cs="Times New Roman"/>
          <w:color w:val="000000"/>
          <w:sz w:val="20"/>
        </w:rPr>
        <w:t>easons to question their conclusions. (</w:t>
      </w:r>
      <w:r>
        <w:rPr>
          <w:rFonts w:ascii="Times New Roman" w:hAnsi="Times New Roman" w:cs="Times New Roman"/>
          <w:i/>
          <w:color w:val="0000FF"/>
          <w:sz w:val="20"/>
        </w:rPr>
        <w:t>Hall v. Conoco Inc.</w:t>
      </w:r>
      <w:r>
        <w:rPr>
          <w:rFonts w:ascii="Times New Roman" w:hAnsi="Times New Roman" w:cs="Times New Roman"/>
          <w:color w:val="0000FF"/>
          <w:sz w:val="20"/>
        </w:rPr>
        <w:t xml:space="preserve"> (10th Cir. 2018) 886 F.3d 1308, 1311, 1314</w:t>
      </w:r>
      <w:r>
        <w:rPr>
          <w:rFonts w:ascii="Times New Roman" w:hAnsi="Times New Roman" w:cs="Times New Roman"/>
          <w:color w:val="000000"/>
          <w:sz w:val="20"/>
        </w:rPr>
        <w:t xml:space="preserve"> [insufficient connection between benzene and plaintiff</w:t>
      </w:r>
      <w:r>
        <w:rPr>
          <w:rFonts w:ascii="Times New Roman" w:hAnsi="Times New Roman" w:cs="Times New Roman"/>
          <w:color w:val="000000"/>
          <w:sz w:val="20"/>
        </w:rPr>
        <w:t>’</w:t>
      </w:r>
      <w:r>
        <w:rPr>
          <w:rFonts w:ascii="Times New Roman" w:hAnsi="Times New Roman" w:cs="Times New Roman"/>
          <w:color w:val="000000"/>
          <w:sz w:val="20"/>
        </w:rPr>
        <w:t xml:space="preserve">s </w:t>
      </w:r>
      <w:r>
        <w:rPr>
          <w:rFonts w:ascii="Times New Roman" w:hAnsi="Times New Roman" w:cs="Times New Roman"/>
          <w:color w:val="0000FF"/>
          <w:sz w:val="20"/>
        </w:rPr>
        <w:t>leukemia</w:t>
      </w:r>
      <w:r>
        <w:rPr>
          <w:rFonts w:ascii="Times New Roman" w:hAnsi="Times New Roman" w:cs="Times New Roman"/>
          <w:color w:val="000000"/>
          <w:sz w:val="20"/>
        </w:rPr>
        <w:t xml:space="preserve">]; </w:t>
      </w:r>
      <w:r>
        <w:rPr>
          <w:rFonts w:ascii="Times New Roman" w:hAnsi="Times New Roman" w:cs="Times New Roman"/>
          <w:i/>
          <w:color w:val="0000FF"/>
          <w:sz w:val="20"/>
        </w:rPr>
        <w:t>Milward v. Rust-Oleum Corp.</w:t>
      </w:r>
      <w:r>
        <w:rPr>
          <w:rFonts w:ascii="Times New Roman" w:hAnsi="Times New Roman" w:cs="Times New Roman"/>
          <w:color w:val="0000FF"/>
          <w:sz w:val="20"/>
        </w:rPr>
        <w:t xml:space="preserve"> (1st Cir. 2016) 820 F.3d 469, 475</w:t>
      </w:r>
      <w:r>
        <w:rPr>
          <w:rFonts w:ascii="Times New Roman" w:hAnsi="Times New Roman" w:cs="Times New Roman"/>
          <w:color w:val="0000FF"/>
          <w:sz w:val="20"/>
        </w:rPr>
        <w:t>–</w:t>
      </w:r>
      <w:r>
        <w:rPr>
          <w:rFonts w:ascii="Times New Roman" w:hAnsi="Times New Roman" w:cs="Times New Roman"/>
          <w:color w:val="0000FF"/>
          <w:sz w:val="20"/>
        </w:rPr>
        <w:t>476</w:t>
      </w:r>
      <w:r>
        <w:rPr>
          <w:rFonts w:ascii="Times New Roman" w:hAnsi="Times New Roman" w:cs="Times New Roman"/>
          <w:color w:val="000000"/>
          <w:sz w:val="20"/>
        </w:rPr>
        <w:t xml:space="preserve"> [expert failed to us</w:t>
      </w:r>
      <w:r>
        <w:rPr>
          <w:rFonts w:ascii="Times New Roman" w:hAnsi="Times New Roman" w:cs="Times New Roman"/>
          <w:color w:val="000000"/>
          <w:sz w:val="20"/>
        </w:rPr>
        <w:t>e scientifically reliable method to rule in benzene as a possible cause of plaintiff</w:t>
      </w:r>
      <w:r>
        <w:rPr>
          <w:rFonts w:ascii="Times New Roman" w:hAnsi="Times New Roman" w:cs="Times New Roman"/>
          <w:color w:val="000000"/>
          <w:sz w:val="20"/>
        </w:rPr>
        <w:t>’</w:t>
      </w:r>
      <w:r>
        <w:rPr>
          <w:rFonts w:ascii="Times New Roman" w:hAnsi="Times New Roman" w:cs="Times New Roman"/>
          <w:color w:val="000000"/>
          <w:sz w:val="20"/>
        </w:rPr>
        <w:t xml:space="preserve">s </w:t>
      </w:r>
      <w:r>
        <w:rPr>
          <w:rFonts w:ascii="Times New Roman" w:hAnsi="Times New Roman" w:cs="Times New Roman"/>
          <w:color w:val="0000FF"/>
          <w:sz w:val="20"/>
        </w:rPr>
        <w:t>leukemia</w:t>
      </w:r>
      <w:r>
        <w:rPr>
          <w:rFonts w:ascii="Times New Roman" w:hAnsi="Times New Roman" w:cs="Times New Roman"/>
          <w:color w:val="000000"/>
          <w:sz w:val="20"/>
        </w:rPr>
        <w:t xml:space="preserve">]; </w:t>
      </w:r>
      <w:r>
        <w:rPr>
          <w:rFonts w:ascii="Times New Roman" w:hAnsi="Times New Roman" w:cs="Times New Roman"/>
          <w:i/>
          <w:color w:val="0000FF"/>
          <w:sz w:val="20"/>
        </w:rPr>
        <w:t>Tamraz v. Lincoln Elec. Co.</w:t>
      </w:r>
      <w:r>
        <w:rPr>
          <w:rFonts w:ascii="Times New Roman" w:hAnsi="Times New Roman" w:cs="Times New Roman"/>
          <w:color w:val="0000FF"/>
          <w:sz w:val="20"/>
        </w:rPr>
        <w:t xml:space="preserve"> (6th Cir. 2010) 620 F.3d 665, 669</w:t>
      </w:r>
      <w:r>
        <w:rPr>
          <w:rFonts w:ascii="Times New Roman" w:hAnsi="Times New Roman" w:cs="Times New Roman"/>
          <w:color w:val="0000FF"/>
          <w:sz w:val="20"/>
        </w:rPr>
        <w:t>–</w:t>
      </w:r>
      <w:r>
        <w:rPr>
          <w:rFonts w:ascii="Times New Roman" w:hAnsi="Times New Roman" w:cs="Times New Roman"/>
          <w:color w:val="0000FF"/>
          <w:sz w:val="20"/>
        </w:rPr>
        <w:t>670, 675</w:t>
      </w:r>
      <w:r>
        <w:rPr>
          <w:rFonts w:ascii="Times New Roman" w:hAnsi="Times New Roman" w:cs="Times New Roman"/>
          <w:color w:val="000000"/>
          <w:sz w:val="20"/>
        </w:rPr>
        <w:t xml:space="preserve"> [expert</w:t>
      </w:r>
      <w:r>
        <w:rPr>
          <w:rFonts w:ascii="Times New Roman" w:hAnsi="Times New Roman" w:cs="Times New Roman"/>
          <w:color w:val="000000"/>
          <w:sz w:val="20"/>
        </w:rPr>
        <w:t>’</w:t>
      </w:r>
      <w:r>
        <w:rPr>
          <w:rFonts w:ascii="Times New Roman" w:hAnsi="Times New Roman" w:cs="Times New Roman"/>
          <w:color w:val="000000"/>
          <w:sz w:val="20"/>
        </w:rPr>
        <w:t>s testimony on connection between manganese exposure and plaintiff</w:t>
      </w:r>
      <w:r>
        <w:rPr>
          <w:rFonts w:ascii="Times New Roman" w:hAnsi="Times New Roman" w:cs="Times New Roman"/>
          <w:color w:val="000000"/>
          <w:sz w:val="20"/>
        </w:rPr>
        <w:t>’</w:t>
      </w:r>
      <w:r>
        <w:rPr>
          <w:rFonts w:ascii="Times New Roman" w:hAnsi="Times New Roman" w:cs="Times New Roman"/>
          <w:color w:val="000000"/>
          <w:sz w:val="20"/>
        </w:rPr>
        <w:t xml:space="preserve">s condition </w:t>
      </w:r>
      <w:r>
        <w:rPr>
          <w:rFonts w:ascii="Times New Roman" w:hAnsi="Times New Roman" w:cs="Times New Roman"/>
          <w:color w:val="000000"/>
          <w:sz w:val="20"/>
        </w:rPr>
        <w:t xml:space="preserve">based on multiple levels of speculation, meaning expert ignored the essential but difficult task of ruling out idiopathic causation]; </w:t>
      </w:r>
      <w:r>
        <w:rPr>
          <w:rFonts w:ascii="Times New Roman" w:hAnsi="Times New Roman" w:cs="Times New Roman"/>
          <w:i/>
          <w:color w:val="0000FF"/>
          <w:sz w:val="20"/>
        </w:rPr>
        <w:t>Kilpatrick v. Breg, Inc.</w:t>
      </w:r>
      <w:r>
        <w:rPr>
          <w:rFonts w:ascii="Times New Roman" w:hAnsi="Times New Roman" w:cs="Times New Roman"/>
          <w:color w:val="0000FF"/>
          <w:sz w:val="20"/>
        </w:rPr>
        <w:t xml:space="preserve"> (11th Cir. 2010) 613 F.3d 1329, 1343</w:t>
      </w:r>
      <w:r>
        <w:rPr>
          <w:rFonts w:ascii="Times New Roman" w:hAnsi="Times New Roman" w:cs="Times New Roman"/>
          <w:color w:val="000000"/>
          <w:sz w:val="20"/>
        </w:rPr>
        <w:t xml:space="preserve"> [expert </w:t>
      </w:r>
      <w:r>
        <w:rPr>
          <w:rFonts w:ascii="Times New Roman" w:hAnsi="Times New Roman" w:cs="Times New Roman"/>
          <w:color w:val="000000"/>
          <w:sz w:val="20"/>
        </w:rPr>
        <w:t>“</w:t>
      </w:r>
      <w:r>
        <w:rPr>
          <w:rFonts w:ascii="Times New Roman" w:hAnsi="Times New Roman" w:cs="Times New Roman"/>
          <w:color w:val="000000"/>
          <w:sz w:val="20"/>
        </w:rPr>
        <w:t>clearly testified that he could not explain why pot</w:t>
      </w:r>
      <w:r>
        <w:rPr>
          <w:rFonts w:ascii="Times New Roman" w:hAnsi="Times New Roman" w:cs="Times New Roman"/>
          <w:color w:val="000000"/>
          <w:sz w:val="20"/>
        </w:rPr>
        <w:t>entially unknown, or idiopathic alternative causes were not ruled out</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Bland v. Verizon Wireless, L.L.C.</w:t>
      </w:r>
      <w:r>
        <w:rPr>
          <w:rFonts w:ascii="Times New Roman" w:hAnsi="Times New Roman" w:cs="Times New Roman"/>
          <w:color w:val="0000FF"/>
          <w:sz w:val="20"/>
        </w:rPr>
        <w:t xml:space="preserve"> (8th Cir. 2008) 538 F.3d 893, 897</w:t>
      </w:r>
      <w:r>
        <w:rPr>
          <w:rFonts w:ascii="Times New Roman" w:hAnsi="Times New Roman" w:cs="Times New Roman"/>
          <w:color w:val="0000FF"/>
          <w:sz w:val="20"/>
        </w:rPr>
        <w:t>–</w:t>
      </w:r>
      <w:r>
        <w:rPr>
          <w:rFonts w:ascii="Times New Roman" w:hAnsi="Times New Roman" w:cs="Times New Roman"/>
          <w:color w:val="0000FF"/>
          <w:sz w:val="20"/>
        </w:rPr>
        <w:t>898</w:t>
      </w:r>
      <w:r>
        <w:rPr>
          <w:rFonts w:ascii="Times New Roman" w:hAnsi="Times New Roman" w:cs="Times New Roman"/>
          <w:color w:val="000000"/>
          <w:sz w:val="20"/>
        </w:rPr>
        <w:t xml:space="preserve"> [where majority of cases of </w:t>
      </w:r>
      <w:r>
        <w:rPr>
          <w:rFonts w:ascii="Times New Roman" w:hAnsi="Times New Roman" w:cs="Times New Roman"/>
          <w:color w:val="0000FF"/>
          <w:sz w:val="20"/>
        </w:rPr>
        <w:t>exercise-induced asthma</w:t>
      </w:r>
      <w:r>
        <w:rPr>
          <w:rFonts w:ascii="Times New Roman" w:hAnsi="Times New Roman" w:cs="Times New Roman"/>
          <w:color w:val="000000"/>
          <w:sz w:val="20"/>
        </w:rPr>
        <w:t xml:space="preserve"> have no known cause, treating physician could not link Freon to plaintiff</w:t>
      </w:r>
      <w:r>
        <w:rPr>
          <w:rFonts w:ascii="Times New Roman" w:hAnsi="Times New Roman" w:cs="Times New Roman"/>
          <w:color w:val="000000"/>
          <w:sz w:val="20"/>
        </w:rPr>
        <w:t>’</w:t>
      </w:r>
      <w:r>
        <w:rPr>
          <w:rFonts w:ascii="Times New Roman" w:hAnsi="Times New Roman" w:cs="Times New Roman"/>
          <w:color w:val="000000"/>
          <w:sz w:val="20"/>
        </w:rPr>
        <w:t xml:space="preserve">s </w:t>
      </w:r>
      <w:r>
        <w:rPr>
          <w:rFonts w:ascii="Times New Roman" w:hAnsi="Times New Roman" w:cs="Times New Roman"/>
          <w:color w:val="0000FF"/>
          <w:sz w:val="20"/>
        </w:rPr>
        <w:t>exercise-induced asthma</w:t>
      </w:r>
      <w:r>
        <w:rPr>
          <w:rFonts w:ascii="Times New Roman" w:hAnsi="Times New Roman" w:cs="Times New Roman"/>
          <w:color w:val="000000"/>
          <w:sz w:val="20"/>
        </w:rPr>
        <w:t xml:space="preserve"> because doctor </w:t>
      </w:r>
      <w:r>
        <w:rPr>
          <w:rFonts w:ascii="Times New Roman" w:hAnsi="Times New Roman" w:cs="Times New Roman"/>
          <w:color w:val="000000"/>
          <w:sz w:val="20"/>
        </w:rPr>
        <w:t>“</w:t>
      </w:r>
      <w:r>
        <w:rPr>
          <w:rFonts w:ascii="Times New Roman" w:hAnsi="Times New Roman" w:cs="Times New Roman"/>
          <w:color w:val="000000"/>
          <w:sz w:val="20"/>
        </w:rPr>
        <w:t>failed to eliminate scientifically other possible causes</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Black v. Food Lion, Inc.</w:t>
      </w:r>
      <w:r>
        <w:rPr>
          <w:rFonts w:ascii="Times New Roman" w:hAnsi="Times New Roman" w:cs="Times New Roman"/>
          <w:color w:val="0000FF"/>
          <w:sz w:val="20"/>
        </w:rPr>
        <w:t xml:space="preserve"> (5th Cir. 1999) 171 F.3d 308, 313</w:t>
      </w:r>
      <w:r>
        <w:rPr>
          <w:rFonts w:ascii="Times New Roman" w:hAnsi="Times New Roman" w:cs="Times New Roman"/>
          <w:color w:val="000000"/>
          <w:sz w:val="20"/>
        </w:rPr>
        <w:t xml:space="preserve"> [because </w:t>
      </w:r>
      <w:r>
        <w:rPr>
          <w:rFonts w:ascii="Times New Roman" w:hAnsi="Times New Roman" w:cs="Times New Roman"/>
          <w:color w:val="0000FF"/>
          <w:sz w:val="20"/>
        </w:rPr>
        <w:t>fibromyalgi</w:t>
      </w:r>
      <w:r>
        <w:rPr>
          <w:rFonts w:ascii="Times New Roman" w:hAnsi="Times New Roman" w:cs="Times New Roman"/>
          <w:color w:val="0000FF"/>
          <w:sz w:val="20"/>
        </w:rPr>
        <w:t>a</w:t>
      </w:r>
      <w:r>
        <w:rPr>
          <w:rFonts w:ascii="Times New Roman" w:hAnsi="Times New Roman" w:cs="Times New Roman"/>
          <w:color w:val="000000"/>
          <w:sz w:val="20"/>
        </w:rPr>
        <w:t xml:space="preserve"> has no known cause and expert said she did not find the cause of plaintiff</w:t>
      </w:r>
      <w:r>
        <w:rPr>
          <w:rFonts w:ascii="Times New Roman" w:hAnsi="Times New Roman" w:cs="Times New Roman"/>
          <w:color w:val="000000"/>
          <w:sz w:val="20"/>
        </w:rPr>
        <w:t>’</w:t>
      </w:r>
      <w:r>
        <w:rPr>
          <w:rFonts w:ascii="Times New Roman" w:hAnsi="Times New Roman" w:cs="Times New Roman"/>
          <w:color w:val="000000"/>
          <w:sz w:val="20"/>
        </w:rPr>
        <w:t xml:space="preserve">s condition but only identified a possible contributing factor, expert opinion </w:t>
      </w:r>
      <w:r>
        <w:rPr>
          <w:rFonts w:ascii="Times New Roman" w:hAnsi="Times New Roman" w:cs="Times New Roman"/>
          <w:color w:val="000000"/>
          <w:sz w:val="20"/>
        </w:rPr>
        <w:t>“</w:t>
      </w:r>
      <w:r>
        <w:rPr>
          <w:rFonts w:ascii="Times New Roman" w:hAnsi="Times New Roman" w:cs="Times New Roman"/>
          <w:color w:val="000000"/>
          <w:sz w:val="20"/>
        </w:rPr>
        <w:t>include[d] conjecture, not deduction from scientifically-validated information</w:t>
      </w:r>
      <w:r>
        <w:rPr>
          <w:rFonts w:ascii="Times New Roman" w:hAnsi="Times New Roman" w:cs="Times New Roman"/>
          <w:color w:val="000000"/>
          <w:sz w:val="20"/>
        </w:rPr>
        <w:t>”</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We likewise re</w:t>
      </w:r>
      <w:r>
        <w:rPr>
          <w:rFonts w:ascii="Times New Roman" w:hAnsi="Times New Roman" w:cs="Times New Roman"/>
          <w:color w:val="000000"/>
          <w:sz w:val="20"/>
        </w:rPr>
        <w:t>ject Monsanto</w:t>
      </w:r>
      <w:r>
        <w:rPr>
          <w:rFonts w:ascii="Times New Roman" w:hAnsi="Times New Roman" w:cs="Times New Roman"/>
          <w:color w:val="000000"/>
          <w:sz w:val="20"/>
        </w:rPr>
        <w:t>’</w:t>
      </w:r>
      <w:r>
        <w:rPr>
          <w:rFonts w:ascii="Times New Roman" w:hAnsi="Times New Roman" w:cs="Times New Roman"/>
          <w:color w:val="000000"/>
          <w:sz w:val="20"/>
        </w:rPr>
        <w:t>s related argument that forensic toxicologist Sawyer</w:t>
      </w:r>
      <w:r>
        <w:rPr>
          <w:rFonts w:ascii="Times New Roman" w:hAnsi="Times New Roman" w:cs="Times New Roman"/>
          <w:color w:val="000000"/>
          <w:sz w:val="20"/>
        </w:rPr>
        <w:t>’</w:t>
      </w:r>
      <w:r>
        <w:rPr>
          <w:rFonts w:ascii="Times New Roman" w:hAnsi="Times New Roman" w:cs="Times New Roman"/>
          <w:color w:val="000000"/>
          <w:sz w:val="20"/>
        </w:rPr>
        <w:t xml:space="preserve">s testimony was </w:t>
      </w:r>
      <w:r>
        <w:rPr>
          <w:rFonts w:ascii="Times New Roman" w:hAnsi="Times New Roman" w:cs="Times New Roman"/>
          <w:color w:val="000000"/>
          <w:sz w:val="20"/>
        </w:rPr>
        <w:t>“</w:t>
      </w:r>
      <w:r>
        <w:rPr>
          <w:rFonts w:ascii="Times New Roman" w:hAnsi="Times New Roman" w:cs="Times New Roman"/>
          <w:color w:val="000000"/>
          <w:sz w:val="20"/>
        </w:rPr>
        <w:t>unreliable, speculative, and legally insufficient to support a finding of causation</w:t>
      </w:r>
      <w:r>
        <w:rPr>
          <w:rFonts w:ascii="Times New Roman" w:hAnsi="Times New Roman" w:cs="Times New Roman"/>
          <w:color w:val="000000"/>
          <w:sz w:val="20"/>
        </w:rPr>
        <w:t>”</w:t>
      </w:r>
      <w:r>
        <w:rPr>
          <w:rFonts w:ascii="Times New Roman" w:hAnsi="Times New Roman" w:cs="Times New Roman"/>
          <w:color w:val="000000"/>
          <w:sz w:val="20"/>
        </w:rPr>
        <w:t xml:space="preserve"> because he made </w:t>
      </w:r>
      <w:r>
        <w:rPr>
          <w:rFonts w:ascii="Times New Roman" w:hAnsi="Times New Roman" w:cs="Times New Roman"/>
          <w:color w:val="000000"/>
          <w:sz w:val="20"/>
        </w:rPr>
        <w:t>“</w:t>
      </w:r>
      <w:r>
        <w:rPr>
          <w:rFonts w:ascii="Times New Roman" w:hAnsi="Times New Roman" w:cs="Times New Roman"/>
          <w:color w:val="000000"/>
          <w:sz w:val="20"/>
        </w:rPr>
        <w:t>no attempt</w:t>
      </w:r>
      <w:r>
        <w:rPr>
          <w:rFonts w:ascii="Times New Roman" w:hAnsi="Times New Roman" w:cs="Times New Roman"/>
          <w:color w:val="000000"/>
          <w:sz w:val="20"/>
        </w:rPr>
        <w:t>”</w:t>
      </w:r>
      <w:r>
        <w:rPr>
          <w:rFonts w:ascii="Times New Roman" w:hAnsi="Times New Roman" w:cs="Times New Roman"/>
          <w:color w:val="000000"/>
          <w:sz w:val="20"/>
        </w:rPr>
        <w:t xml:space="preserve"> to take into account that at least 80 percent of </w:t>
      </w:r>
      <w:r>
        <w:rPr>
          <w:rFonts w:ascii="Times New Roman" w:hAnsi="Times New Roman" w:cs="Times New Roman"/>
          <w:color w:val="0000FF"/>
          <w:sz w:val="20"/>
        </w:rPr>
        <w:t>non-Hodgk</w:t>
      </w:r>
      <w:r>
        <w:rPr>
          <w:rFonts w:ascii="Times New Roman" w:hAnsi="Times New Roman" w:cs="Times New Roman"/>
          <w:color w:val="0000FF"/>
          <w:sz w:val="20"/>
        </w:rPr>
        <w:t>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cases are idiopathic. Sawyer opined that exposure to Roundup products caused Johnson</w:t>
      </w:r>
      <w:r>
        <w:rPr>
          <w:rFonts w:ascii="Times New Roman" w:hAnsi="Times New Roman" w:cs="Times New Roman"/>
          <w:color w:val="000000"/>
          <w:sz w:val="20"/>
        </w:rPr>
        <w:t>’</w:t>
      </w:r>
      <w:r>
        <w:rPr>
          <w:rFonts w:ascii="Times New Roman" w:hAnsi="Times New Roman" w:cs="Times New Roman"/>
          <w:color w:val="000000"/>
          <w:sz w:val="20"/>
        </w:rPr>
        <w:t xml:space="preserve">s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because Johnson</w:t>
      </w:r>
      <w:r>
        <w:rPr>
          <w:rFonts w:ascii="Times New Roman" w:hAnsi="Times New Roman" w:cs="Times New Roman"/>
          <w:color w:val="000000"/>
          <w:sz w:val="20"/>
        </w:rPr>
        <w:t>’</w:t>
      </w:r>
      <w:r>
        <w:rPr>
          <w:rFonts w:ascii="Times New Roman" w:hAnsi="Times New Roman" w:cs="Times New Roman"/>
          <w:color w:val="000000"/>
          <w:sz w:val="20"/>
        </w:rPr>
        <w:t xml:space="preserve">s </w:t>
      </w:r>
      <w:r>
        <w:rPr>
          <w:rFonts w:ascii="Times New Roman" w:hAnsi="Times New Roman" w:cs="Times New Roman"/>
          <w:color w:val="000000"/>
          <w:sz w:val="20"/>
        </w:rPr>
        <w:t>“</w:t>
      </w:r>
      <w:r>
        <w:rPr>
          <w:rFonts w:ascii="Times New Roman" w:hAnsi="Times New Roman" w:cs="Times New Roman"/>
          <w:color w:val="000000"/>
          <w:sz w:val="20"/>
        </w:rPr>
        <w:t>use of the product was extraordinarily heavy,</w:t>
      </w:r>
      <w:r>
        <w:rPr>
          <w:rFonts w:ascii="Times New Roman" w:hAnsi="Times New Roman" w:cs="Times New Roman"/>
          <w:color w:val="000000"/>
          <w:sz w:val="20"/>
        </w:rPr>
        <w:t>”</w:t>
      </w:r>
      <w:r>
        <w:rPr>
          <w:rFonts w:ascii="Times New Roman" w:hAnsi="Times New Roman" w:cs="Times New Roman"/>
          <w:color w:val="000000"/>
          <w:sz w:val="20"/>
        </w:rPr>
        <w:t xml:space="preserve"> and this exposure was </w:t>
      </w:r>
      <w:r>
        <w:rPr>
          <w:rFonts w:ascii="Times New Roman" w:hAnsi="Times New Roman" w:cs="Times New Roman"/>
          <w:color w:val="000000"/>
          <w:sz w:val="20"/>
        </w:rPr>
        <w:t>“</w:t>
      </w:r>
      <w:r>
        <w:rPr>
          <w:rFonts w:ascii="Times New Roman" w:hAnsi="Times New Roman" w:cs="Times New Roman"/>
          <w:color w:val="000000"/>
          <w:sz w:val="20"/>
        </w:rPr>
        <w:t>far more</w:t>
      </w:r>
      <w:r>
        <w:rPr>
          <w:rFonts w:ascii="Times New Roman" w:hAnsi="Times New Roman" w:cs="Times New Roman"/>
          <w:color w:val="000000"/>
          <w:sz w:val="20"/>
        </w:rPr>
        <w:t>”</w:t>
      </w:r>
      <w:r>
        <w:rPr>
          <w:rFonts w:ascii="Times New Roman" w:hAnsi="Times New Roman" w:cs="Times New Roman"/>
          <w:color w:val="000000"/>
          <w:sz w:val="20"/>
        </w:rPr>
        <w:t xml:space="preserve"> than subjects of other studies. S</w:t>
      </w:r>
      <w:r>
        <w:rPr>
          <w:rFonts w:ascii="Times New Roman" w:hAnsi="Times New Roman" w:cs="Times New Roman"/>
          <w:color w:val="000000"/>
          <w:sz w:val="20"/>
        </w:rPr>
        <w:t xml:space="preserve">awyer was not obligated to </w:t>
      </w:r>
      <w:r>
        <w:rPr>
          <w:rFonts w:ascii="Times New Roman" w:hAnsi="Times New Roman" w:cs="Times New Roman"/>
          <w:color w:val="000000"/>
          <w:sz w:val="20"/>
        </w:rPr>
        <w:t>“</w:t>
      </w:r>
      <w:r>
        <w:rPr>
          <w:rFonts w:ascii="Times New Roman" w:hAnsi="Times New Roman" w:cs="Times New Roman"/>
          <w:color w:val="000000"/>
          <w:sz w:val="20"/>
        </w:rPr>
        <w:t>affirmatively negate every other possible cause</w:t>
      </w:r>
      <w:r>
        <w:rPr>
          <w:rFonts w:ascii="Times New Roman" w:hAnsi="Times New Roman" w:cs="Times New Roman"/>
          <w:color w:val="000000"/>
          <w:sz w:val="20"/>
        </w:rPr>
        <w:t>”</w:t>
      </w:r>
      <w:r>
        <w:rPr>
          <w:rFonts w:ascii="Times New Roman" w:hAnsi="Times New Roman" w:cs="Times New Roman"/>
          <w:color w:val="000000"/>
          <w:sz w:val="20"/>
        </w:rPr>
        <w:t xml:space="preserve"> of Johnson</w:t>
      </w:r>
      <w:r>
        <w:rPr>
          <w:rFonts w:ascii="Times New Roman" w:hAnsi="Times New Roman" w:cs="Times New Roman"/>
          <w:color w:val="000000"/>
          <w:sz w:val="20"/>
        </w:rPr>
        <w:t>’</w:t>
      </w:r>
      <w:r>
        <w:rPr>
          <w:rFonts w:ascii="Times New Roman" w:hAnsi="Times New Roman" w:cs="Times New Roman"/>
          <w:color w:val="000000"/>
          <w:sz w:val="20"/>
        </w:rPr>
        <w:t xml:space="preserve">s disease before he could opine on </w:t>
      </w:r>
      <w:r>
        <w:rPr>
          <w:rFonts w:ascii="Times New Roman" w:hAnsi="Times New Roman" w:cs="Times New Roman"/>
          <w:color w:val="000000"/>
          <w:sz w:val="20"/>
        </w:rPr>
        <w:t>causation. (</w:t>
      </w:r>
      <w:r>
        <w:rPr>
          <w:rFonts w:ascii="Times New Roman" w:hAnsi="Times New Roman" w:cs="Times New Roman"/>
          <w:i/>
          <w:color w:val="0000FF"/>
          <w:sz w:val="20"/>
        </w:rPr>
        <w:t>Cooper v. Takeda Pharmaceuticals America, Inc.</w:t>
      </w:r>
      <w:r>
        <w:rPr>
          <w:rFonts w:ascii="Times New Roman" w:hAnsi="Times New Roman" w:cs="Times New Roman"/>
          <w:color w:val="0000FF"/>
          <w:sz w:val="20"/>
        </w:rPr>
        <w:t xml:space="preserve"> (2015) 239 Cal.App.4th 555, 584</w:t>
      </w:r>
      <w:r>
        <w:rPr>
          <w:rFonts w:ascii="Times New Roman" w:hAnsi="Times New Roman" w:cs="Times New Roman"/>
          <w:color w:val="000000"/>
          <w:sz w:val="20"/>
        </w:rPr>
        <w:t xml:space="preserve"> (</w:t>
      </w:r>
      <w:r>
        <w:rPr>
          <w:rFonts w:ascii="Times New Roman" w:hAnsi="Times New Roman" w:cs="Times New Roman"/>
          <w:i/>
          <w:color w:val="000000"/>
          <w:sz w:val="20"/>
        </w:rPr>
        <w:t>Cooper</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Bare conceivability of another</w:t>
      </w:r>
      <w:r>
        <w:rPr>
          <w:rFonts w:ascii="Times New Roman" w:hAnsi="Times New Roman" w:cs="Times New Roman"/>
          <w:color w:val="000000"/>
          <w:sz w:val="20"/>
        </w:rPr>
        <w:t xml:space="preserve"> possible cause does not defeat a claim; the relevant question is whether there is </w:t>
      </w:r>
      <w:r>
        <w:rPr>
          <w:rFonts w:ascii="Times New Roman" w:hAnsi="Times New Roman" w:cs="Times New Roman"/>
          <w:color w:val="000000"/>
          <w:sz w:val="20"/>
        </w:rPr>
        <w:t>‘</w:t>
      </w:r>
      <w:r>
        <w:rPr>
          <w:rFonts w:ascii="Times New Roman" w:hAnsi="Times New Roman" w:cs="Times New Roman"/>
          <w:color w:val="000000"/>
          <w:sz w:val="20"/>
        </w:rPr>
        <w:t>substantial evidence</w:t>
      </w:r>
      <w:r>
        <w:rPr>
          <w:rFonts w:ascii="Times New Roman" w:hAnsi="Times New Roman" w:cs="Times New Roman"/>
          <w:color w:val="000000"/>
          <w:sz w:val="20"/>
        </w:rPr>
        <w:t>’</w:t>
      </w:r>
      <w:r>
        <w:rPr>
          <w:rFonts w:ascii="Times New Roman" w:hAnsi="Times New Roman" w:cs="Times New Roman"/>
          <w:color w:val="000000"/>
          <w:sz w:val="20"/>
        </w:rPr>
        <w:t xml:space="preserve"> of an alternative explanation for the disease</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id.</w:t>
      </w:r>
      <w:r>
        <w:rPr>
          <w:rFonts w:ascii="Times New Roman" w:hAnsi="Times New Roman" w:cs="Times New Roman"/>
          <w:color w:val="0000FF"/>
          <w:sz w:val="20"/>
        </w:rPr>
        <w:t xml:space="preserve"> at p. 586</w:t>
      </w:r>
      <w:r>
        <w:rPr>
          <w:rFonts w:ascii="Times New Roman" w:hAnsi="Times New Roman" w:cs="Times New Roman"/>
          <w:color w:val="000000"/>
          <w:sz w:val="20"/>
        </w:rPr>
        <w:t>), and here Monsanto does not point to any such evidence.</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Contrary to Monsanto</w:t>
      </w:r>
      <w:r>
        <w:rPr>
          <w:rFonts w:ascii="Times New Roman" w:hAnsi="Times New Roman" w:cs="Times New Roman"/>
          <w:color w:val="000000"/>
          <w:sz w:val="20"/>
        </w:rPr>
        <w:t>’</w:t>
      </w:r>
      <w:r>
        <w:rPr>
          <w:rFonts w:ascii="Times New Roman" w:hAnsi="Times New Roman" w:cs="Times New Roman"/>
          <w:color w:val="000000"/>
          <w:sz w:val="20"/>
        </w:rPr>
        <w:t>s argume</w:t>
      </w:r>
      <w:r>
        <w:rPr>
          <w:rFonts w:ascii="Times New Roman" w:hAnsi="Times New Roman" w:cs="Times New Roman"/>
          <w:color w:val="000000"/>
          <w:sz w:val="20"/>
        </w:rPr>
        <w:t xml:space="preserve">nt, a conclusion that Johnson sufficiently established causation is consistent with </w:t>
      </w:r>
      <w:r>
        <w:rPr>
          <w:rFonts w:ascii="Times New Roman" w:hAnsi="Times New Roman" w:cs="Times New Roman"/>
          <w:i/>
          <w:color w:val="000000"/>
          <w:sz w:val="20"/>
        </w:rPr>
        <w:t>Cooper</w:t>
      </w:r>
      <w:r>
        <w:rPr>
          <w:rFonts w:ascii="Times New Roman" w:hAnsi="Times New Roman" w:cs="Times New Roman"/>
          <w:color w:val="000000"/>
          <w:sz w:val="20"/>
        </w:rPr>
        <w:t xml:space="preserve">. In </w:t>
      </w:r>
      <w:r>
        <w:rPr>
          <w:rFonts w:ascii="Times New Roman" w:hAnsi="Times New Roman" w:cs="Times New Roman"/>
          <w:i/>
          <w:color w:val="000000"/>
          <w:sz w:val="20"/>
        </w:rPr>
        <w:t>Cooper</w:t>
      </w:r>
      <w:r>
        <w:rPr>
          <w:rFonts w:ascii="Times New Roman" w:hAnsi="Times New Roman" w:cs="Times New Roman"/>
          <w:color w:val="000000"/>
          <w:sz w:val="20"/>
        </w:rPr>
        <w:t>, an expert testified for the plaintiff that he believed the defendant</w:t>
      </w:r>
      <w:r>
        <w:rPr>
          <w:rFonts w:ascii="Times New Roman" w:hAnsi="Times New Roman" w:cs="Times New Roman"/>
          <w:color w:val="000000"/>
          <w:sz w:val="20"/>
        </w:rPr>
        <w:t>’</w:t>
      </w:r>
      <w:r>
        <w:rPr>
          <w:rFonts w:ascii="Times New Roman" w:hAnsi="Times New Roman" w:cs="Times New Roman"/>
          <w:color w:val="000000"/>
          <w:sz w:val="20"/>
        </w:rPr>
        <w:t xml:space="preserve">s </w:t>
      </w:r>
      <w:r>
        <w:rPr>
          <w:rFonts w:ascii="Times New Roman" w:hAnsi="Times New Roman" w:cs="Times New Roman"/>
          <w:color w:val="0000FF"/>
          <w:sz w:val="20"/>
        </w:rPr>
        <w:t>diabetes</w:t>
      </w:r>
      <w:r>
        <w:rPr>
          <w:rFonts w:ascii="Times New Roman" w:hAnsi="Times New Roman" w:cs="Times New Roman"/>
          <w:color w:val="000000"/>
          <w:sz w:val="20"/>
        </w:rPr>
        <w:t xml:space="preserve"> medication was a substantial factor in causing the plaintiff</w:t>
      </w:r>
      <w:r>
        <w:rPr>
          <w:rFonts w:ascii="Times New Roman" w:hAnsi="Times New Roman" w:cs="Times New Roman"/>
          <w:color w:val="000000"/>
          <w:sz w:val="20"/>
        </w:rPr>
        <w:t>’</w:t>
      </w:r>
      <w:r>
        <w:rPr>
          <w:rFonts w:ascii="Times New Roman" w:hAnsi="Times New Roman" w:cs="Times New Roman"/>
          <w:color w:val="000000"/>
          <w:sz w:val="20"/>
        </w:rPr>
        <w:t xml:space="preserve">s bladder </w:t>
      </w:r>
      <w:r>
        <w:rPr>
          <w:rFonts w:ascii="Times New Roman" w:hAnsi="Times New Roman" w:cs="Times New Roman"/>
          <w:color w:val="0000FF"/>
          <w:sz w:val="20"/>
        </w:rPr>
        <w:t>ca</w:t>
      </w:r>
      <w:r>
        <w:rPr>
          <w:rFonts w:ascii="Times New Roman" w:hAnsi="Times New Roman" w:cs="Times New Roman"/>
          <w:color w:val="0000FF"/>
          <w:sz w:val="20"/>
        </w:rPr>
        <w:t>ncer</w:t>
      </w:r>
      <w:r>
        <w:rPr>
          <w:rFonts w:ascii="Times New Roman" w:hAnsi="Times New Roman" w:cs="Times New Roman"/>
          <w:color w:val="000000"/>
          <w:sz w:val="20"/>
        </w:rPr>
        <w:t>. (</w:t>
      </w:r>
      <w:r>
        <w:rPr>
          <w:rFonts w:ascii="Times New Roman" w:hAnsi="Times New Roman" w:cs="Times New Roman"/>
          <w:color w:val="0000FF"/>
          <w:sz w:val="20"/>
        </w:rPr>
        <w:t>239 Cal.App.4th at p. 561</w:t>
      </w:r>
      <w:r>
        <w:rPr>
          <w:rFonts w:ascii="Times New Roman" w:hAnsi="Times New Roman" w:cs="Times New Roman"/>
          <w:color w:val="000000"/>
          <w:sz w:val="20"/>
        </w:rPr>
        <w:t>.) After a jury reached a verdict for the plaintiff, the trial court struck the expert</w:t>
      </w:r>
      <w:r>
        <w:rPr>
          <w:rFonts w:ascii="Times New Roman" w:hAnsi="Times New Roman" w:cs="Times New Roman"/>
          <w:color w:val="000000"/>
          <w:sz w:val="20"/>
        </w:rPr>
        <w:t>’</w:t>
      </w:r>
      <w:r>
        <w:rPr>
          <w:rFonts w:ascii="Times New Roman" w:hAnsi="Times New Roman" w:cs="Times New Roman"/>
          <w:color w:val="000000"/>
          <w:sz w:val="20"/>
        </w:rPr>
        <w:t>s testimony and granted defendant</w:t>
      </w:r>
      <w:r>
        <w:rPr>
          <w:rFonts w:ascii="Times New Roman" w:hAnsi="Times New Roman" w:cs="Times New Roman"/>
          <w:color w:val="000000"/>
          <w:sz w:val="20"/>
        </w:rPr>
        <w:t>’</w:t>
      </w:r>
      <w:r>
        <w:rPr>
          <w:rFonts w:ascii="Times New Roman" w:hAnsi="Times New Roman" w:cs="Times New Roman"/>
          <w:color w:val="000000"/>
          <w:sz w:val="20"/>
        </w:rPr>
        <w:t>s request for judgment notwithstanding the verdict because, although the expert had identified many pos</w:t>
      </w:r>
      <w:r>
        <w:rPr>
          <w:rFonts w:ascii="Times New Roman" w:hAnsi="Times New Roman" w:cs="Times New Roman"/>
          <w:color w:val="000000"/>
          <w:sz w:val="20"/>
        </w:rPr>
        <w:t xml:space="preserve">sible causes of bladder </w:t>
      </w:r>
      <w:r>
        <w:rPr>
          <w:rFonts w:ascii="Times New Roman" w:hAnsi="Times New Roman" w:cs="Times New Roman"/>
          <w:color w:val="0000FF"/>
          <w:sz w:val="20"/>
        </w:rPr>
        <w:t>cancer</w:t>
      </w:r>
      <w:r>
        <w:rPr>
          <w:rFonts w:ascii="Times New Roman" w:hAnsi="Times New Roman" w:cs="Times New Roman"/>
          <w:color w:val="000000"/>
          <w:sz w:val="20"/>
        </w:rPr>
        <w:t>, he did not adequately consider them and rule them out as to the plaintiff. (</w:t>
      </w:r>
      <w:r>
        <w:rPr>
          <w:rFonts w:ascii="Times New Roman" w:hAnsi="Times New Roman" w:cs="Times New Roman"/>
          <w:i/>
          <w:color w:val="0000FF"/>
          <w:sz w:val="20"/>
        </w:rPr>
        <w:t>Id.</w:t>
      </w:r>
      <w:r>
        <w:rPr>
          <w:rFonts w:ascii="Times New Roman" w:hAnsi="Times New Roman" w:cs="Times New Roman"/>
          <w:color w:val="0000FF"/>
          <w:sz w:val="20"/>
        </w:rPr>
        <w:t xml:space="preserve"> at p. 573</w:t>
      </w:r>
      <w:r>
        <w:rPr>
          <w:rFonts w:ascii="Times New Roman" w:hAnsi="Times New Roman" w:cs="Times New Roman"/>
          <w:color w:val="000000"/>
          <w:sz w:val="20"/>
        </w:rPr>
        <w:t>.) The Court of Appeal reversed and directed the trial court to reinstate the jury verdict. (</w:t>
      </w:r>
      <w:r>
        <w:rPr>
          <w:rFonts w:ascii="Times New Roman" w:hAnsi="Times New Roman" w:cs="Times New Roman"/>
          <w:i/>
          <w:color w:val="0000FF"/>
          <w:sz w:val="20"/>
        </w:rPr>
        <w:t>Id.</w:t>
      </w:r>
      <w:r>
        <w:rPr>
          <w:rFonts w:ascii="Times New Roman" w:hAnsi="Times New Roman" w:cs="Times New Roman"/>
          <w:color w:val="0000FF"/>
          <w:sz w:val="20"/>
        </w:rPr>
        <w:t xml:space="preserve"> at p. 597</w:t>
      </w:r>
      <w:r>
        <w:rPr>
          <w:rFonts w:ascii="Times New Roman" w:hAnsi="Times New Roman" w:cs="Times New Roman"/>
          <w:color w:val="000000"/>
          <w:sz w:val="20"/>
        </w:rPr>
        <w:t>.) The court noted that in Ca</w:t>
      </w:r>
      <w:r>
        <w:rPr>
          <w:rFonts w:ascii="Times New Roman" w:hAnsi="Times New Roman" w:cs="Times New Roman"/>
          <w:color w:val="000000"/>
          <w:sz w:val="20"/>
        </w:rPr>
        <w:t>lifornia, a plaintiff need not definitively exclude all possible causes of harm before expressing an opinion that a defendant</w:t>
      </w:r>
      <w:r>
        <w:rPr>
          <w:rFonts w:ascii="Times New Roman" w:hAnsi="Times New Roman" w:cs="Times New Roman"/>
          <w:color w:val="000000"/>
          <w:sz w:val="20"/>
        </w:rPr>
        <w:t>’</w:t>
      </w:r>
      <w:r>
        <w:rPr>
          <w:rFonts w:ascii="Times New Roman" w:hAnsi="Times New Roman" w:cs="Times New Roman"/>
          <w:color w:val="000000"/>
          <w:sz w:val="20"/>
        </w:rPr>
        <w:t>s conduct or product caused a plaintiff</w:t>
      </w:r>
      <w:r>
        <w:rPr>
          <w:rFonts w:ascii="Times New Roman" w:hAnsi="Times New Roman" w:cs="Times New Roman"/>
          <w:color w:val="000000"/>
          <w:sz w:val="20"/>
        </w:rPr>
        <w:t>’</w:t>
      </w:r>
      <w:r>
        <w:rPr>
          <w:rFonts w:ascii="Times New Roman" w:hAnsi="Times New Roman" w:cs="Times New Roman"/>
          <w:color w:val="000000"/>
          <w:sz w:val="20"/>
        </w:rPr>
        <w:t>s harm. (</w:t>
      </w:r>
      <w:r>
        <w:rPr>
          <w:rFonts w:ascii="Times New Roman" w:hAnsi="Times New Roman" w:cs="Times New Roman"/>
          <w:i/>
          <w:color w:val="000000"/>
          <w:sz w:val="20"/>
        </w:rPr>
        <w:t>Id.</w:t>
      </w:r>
      <w:r>
        <w:rPr>
          <w:rFonts w:ascii="Times New Roman" w:hAnsi="Times New Roman" w:cs="Times New Roman"/>
          <w:color w:val="000000"/>
          <w:sz w:val="20"/>
        </w:rPr>
        <w:t xml:space="preserve"> at p. 580.) </w:t>
      </w:r>
      <w:r>
        <w:rPr>
          <w:rFonts w:ascii="Times New Roman" w:hAnsi="Times New Roman" w:cs="Times New Roman"/>
          <w:i/>
          <w:color w:val="000000"/>
          <w:sz w:val="20"/>
        </w:rPr>
        <w:t>Cooper</w:t>
      </w:r>
      <w:r>
        <w:rPr>
          <w:rFonts w:ascii="Times New Roman" w:hAnsi="Times New Roman" w:cs="Times New Roman"/>
          <w:color w:val="000000"/>
          <w:sz w:val="20"/>
        </w:rPr>
        <w:t xml:space="preserve"> also observed that experts may testify that </w:t>
      </w:r>
      <w:r>
        <w:rPr>
          <w:rFonts w:ascii="Times New Roman" w:hAnsi="Times New Roman" w:cs="Times New Roman"/>
          <w:color w:val="000000"/>
          <w:sz w:val="20"/>
        </w:rPr>
        <w:t>“</w:t>
      </w:r>
      <w:r>
        <w:rPr>
          <w:rFonts w:ascii="Times New Roman" w:hAnsi="Times New Roman" w:cs="Times New Roman"/>
          <w:color w:val="000000"/>
          <w:sz w:val="20"/>
        </w:rPr>
        <w:t>the results o</w:t>
      </w:r>
      <w:r>
        <w:rPr>
          <w:rFonts w:ascii="Times New Roman" w:hAnsi="Times New Roman" w:cs="Times New Roman"/>
          <w:color w:val="000000"/>
          <w:sz w:val="20"/>
        </w:rPr>
        <w:t>f ... individual studies considered as a whole, including ... meta-analyses,</w:t>
      </w:r>
      <w:r>
        <w:rPr>
          <w:rFonts w:ascii="Times New Roman" w:hAnsi="Times New Roman" w:cs="Times New Roman"/>
          <w:color w:val="000000"/>
          <w:sz w:val="20"/>
        </w:rPr>
        <w:t>”</w:t>
      </w:r>
      <w:r>
        <w:rPr>
          <w:rFonts w:ascii="Times New Roman" w:hAnsi="Times New Roman" w:cs="Times New Roman"/>
          <w:color w:val="000000"/>
          <w:sz w:val="20"/>
        </w:rPr>
        <w:t xml:space="preserve"> may inform their opinion on whether a product caused harm. (</w:t>
      </w:r>
      <w:r>
        <w:rPr>
          <w:rFonts w:ascii="Times New Roman" w:hAnsi="Times New Roman" w:cs="Times New Roman"/>
          <w:i/>
          <w:color w:val="0000FF"/>
          <w:sz w:val="20"/>
        </w:rPr>
        <w:t>Id.</w:t>
      </w:r>
      <w:r>
        <w:rPr>
          <w:rFonts w:ascii="Times New Roman" w:hAnsi="Times New Roman" w:cs="Times New Roman"/>
          <w:color w:val="0000FF"/>
          <w:sz w:val="20"/>
        </w:rPr>
        <w:t xml:space="preserve"> at p. 589</w:t>
      </w:r>
      <w:r>
        <w:rPr>
          <w:rFonts w:ascii="Times New Roman" w:hAnsi="Times New Roman" w:cs="Times New Roman"/>
          <w:color w:val="000000"/>
          <w:sz w:val="20"/>
        </w:rPr>
        <w:t>.) In highlighting the reliability of the expert</w:t>
      </w:r>
      <w:r>
        <w:rPr>
          <w:rFonts w:ascii="Times New Roman" w:hAnsi="Times New Roman" w:cs="Times New Roman"/>
          <w:color w:val="000000"/>
          <w:sz w:val="20"/>
        </w:rPr>
        <w:t>’</w:t>
      </w:r>
      <w:r>
        <w:rPr>
          <w:rFonts w:ascii="Times New Roman" w:hAnsi="Times New Roman" w:cs="Times New Roman"/>
          <w:color w:val="000000"/>
          <w:sz w:val="20"/>
        </w:rPr>
        <w:t xml:space="preserve">s testimony, </w:t>
      </w:r>
      <w:r>
        <w:rPr>
          <w:rFonts w:ascii="Times New Roman" w:hAnsi="Times New Roman" w:cs="Times New Roman"/>
          <w:i/>
          <w:color w:val="000000"/>
          <w:sz w:val="20"/>
        </w:rPr>
        <w:t>Cooper</w:t>
      </w:r>
      <w:r>
        <w:rPr>
          <w:rFonts w:ascii="Times New Roman" w:hAnsi="Times New Roman" w:cs="Times New Roman"/>
          <w:color w:val="000000"/>
          <w:sz w:val="20"/>
        </w:rPr>
        <w:t xml:space="preserve"> further noted that the expert relied</w:t>
      </w:r>
      <w:r>
        <w:rPr>
          <w:rFonts w:ascii="Times New Roman" w:hAnsi="Times New Roman" w:cs="Times New Roman"/>
          <w:color w:val="000000"/>
          <w:sz w:val="20"/>
        </w:rPr>
        <w:t xml:space="preserve"> on epidemiological studies showing hazard ratios for developing bladder </w:t>
      </w:r>
      <w:r>
        <w:rPr>
          <w:rFonts w:ascii="Times New Roman" w:hAnsi="Times New Roman" w:cs="Times New Roman"/>
          <w:color w:val="0000FF"/>
          <w:sz w:val="20"/>
        </w:rPr>
        <w:t>cancer</w:t>
      </w:r>
      <w:r>
        <w:rPr>
          <w:rFonts w:ascii="Times New Roman" w:hAnsi="Times New Roman" w:cs="Times New Roman"/>
          <w:color w:val="000000"/>
          <w:sz w:val="20"/>
        </w:rPr>
        <w:t xml:space="preserve"> that ranged from 2.54 to 6.97. (</w:t>
      </w:r>
      <w:r>
        <w:rPr>
          <w:rFonts w:ascii="Times New Roman" w:hAnsi="Times New Roman" w:cs="Times New Roman"/>
          <w:i/>
          <w:color w:val="0000FF"/>
          <w:sz w:val="20"/>
        </w:rPr>
        <w:t>Id.</w:t>
      </w:r>
      <w:r>
        <w:rPr>
          <w:rFonts w:ascii="Times New Roman" w:hAnsi="Times New Roman" w:cs="Times New Roman"/>
          <w:color w:val="0000FF"/>
          <w:sz w:val="20"/>
        </w:rPr>
        <w:t xml:space="preserve"> at p. 593</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[A] relative risk greater than 2.0 is needed to extrapolate from generic population-based studies to conclusions about what c</w:t>
      </w:r>
      <w:r>
        <w:rPr>
          <w:rFonts w:ascii="Times New Roman" w:hAnsi="Times New Roman" w:cs="Times New Roman"/>
          <w:color w:val="000000"/>
          <w:sz w:val="20"/>
        </w:rPr>
        <w:t>aused a specific person</w:t>
      </w:r>
      <w:r>
        <w:rPr>
          <w:rFonts w:ascii="Times New Roman" w:hAnsi="Times New Roman" w:cs="Times New Roman"/>
          <w:color w:val="000000"/>
          <w:sz w:val="20"/>
        </w:rPr>
        <w:t>’</w:t>
      </w:r>
      <w:r>
        <w:rPr>
          <w:rFonts w:ascii="Times New Roman" w:hAnsi="Times New Roman" w:cs="Times New Roman"/>
          <w:color w:val="000000"/>
          <w:sz w:val="20"/>
        </w:rPr>
        <w:t>s disease. When the relative risk is 2.0, the alleged cause is responsible for an equal number of cases of the disease as all other background causes present in the control group. Thus, a relative risk of 2.0 implies a 50% probabili</w:t>
      </w:r>
      <w:r>
        <w:rPr>
          <w:rFonts w:ascii="Times New Roman" w:hAnsi="Times New Roman" w:cs="Times New Roman"/>
          <w:color w:val="000000"/>
          <w:sz w:val="20"/>
        </w:rPr>
        <w:t>ty that the agent at issue was responsible for a particular individual</w:t>
      </w:r>
      <w:r>
        <w:rPr>
          <w:rFonts w:ascii="Times New Roman" w:hAnsi="Times New Roman" w:cs="Times New Roman"/>
          <w:color w:val="000000"/>
          <w:sz w:val="20"/>
        </w:rPr>
        <w:t>’</w:t>
      </w:r>
      <w:r>
        <w:rPr>
          <w:rFonts w:ascii="Times New Roman" w:hAnsi="Times New Roman" w:cs="Times New Roman"/>
          <w:color w:val="000000"/>
          <w:sz w:val="20"/>
        </w:rPr>
        <w:t>s disease. This means that a relative risk that is greater than 2.0 permits the conclusion that the agent was more likely than not responsible for a particular individual</w:t>
      </w:r>
      <w:r>
        <w:rPr>
          <w:rFonts w:ascii="Times New Roman" w:hAnsi="Times New Roman" w:cs="Times New Roman"/>
          <w:color w:val="000000"/>
          <w:sz w:val="20"/>
        </w:rPr>
        <w:t>’</w:t>
      </w:r>
      <w:r>
        <w:rPr>
          <w:rFonts w:ascii="Times New Roman" w:hAnsi="Times New Roman" w:cs="Times New Roman"/>
          <w:color w:val="000000"/>
          <w:sz w:val="20"/>
        </w:rPr>
        <w:t>s disease.</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i/>
          <w:color w:val="0000FF"/>
          <w:sz w:val="20"/>
        </w:rPr>
        <w:t>Id.</w:t>
      </w:r>
      <w:r>
        <w:rPr>
          <w:rFonts w:ascii="Times New Roman" w:hAnsi="Times New Roman" w:cs="Times New Roman"/>
          <w:color w:val="0000FF"/>
          <w:sz w:val="20"/>
        </w:rPr>
        <w:t xml:space="preserve"> at pp. 593</w:t>
      </w:r>
      <w:r>
        <w:rPr>
          <w:rFonts w:ascii="Times New Roman" w:hAnsi="Times New Roman" w:cs="Times New Roman"/>
          <w:color w:val="0000FF"/>
          <w:sz w:val="20"/>
        </w:rPr>
        <w:t>–</w:t>
      </w:r>
      <w:r>
        <w:rPr>
          <w:rFonts w:ascii="Times New Roman" w:hAnsi="Times New Roman" w:cs="Times New Roman"/>
          <w:color w:val="0000FF"/>
          <w:sz w:val="20"/>
        </w:rPr>
        <w:t>594</w:t>
      </w:r>
      <w:r>
        <w:rPr>
          <w:rFonts w:ascii="Times New Roman" w:hAnsi="Times New Roman" w:cs="Times New Roman"/>
          <w:color w:val="000000"/>
          <w:sz w:val="20"/>
        </w:rPr>
        <w:t>, italics omitted.)</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32" w:name="co_pp_sp_999_15_1"/>
      <w:bookmarkEnd w:id="32"/>
      <w:r>
        <w:rPr>
          <w:rFonts w:ascii="Times New Roman" w:hAnsi="Times New Roman" w:cs="Times New Roman"/>
          <w:b/>
          <w:color w:val="000000"/>
          <w:sz w:val="20"/>
        </w:rPr>
        <w:t>*15</w:t>
      </w:r>
      <w:r>
        <w:rPr>
          <w:rFonts w:ascii="Times New Roman" w:hAnsi="Times New Roman" w:cs="Times New Roman"/>
          <w:color w:val="000000"/>
          <w:sz w:val="20"/>
        </w:rPr>
        <w:t xml:space="preserve"> Here, Nabhan testified that he reviewed glyphosate studies and that </w:t>
      </w:r>
      <w:r>
        <w:rPr>
          <w:rFonts w:ascii="Times New Roman" w:hAnsi="Times New Roman" w:cs="Times New Roman"/>
          <w:color w:val="000000"/>
          <w:sz w:val="20"/>
        </w:rPr>
        <w:t>“</w:t>
      </w:r>
      <w:r>
        <w:rPr>
          <w:rFonts w:ascii="Times New Roman" w:hAnsi="Times New Roman" w:cs="Times New Roman"/>
          <w:color w:val="000000"/>
          <w:sz w:val="20"/>
        </w:rPr>
        <w:t>there are several studies that I looked at that doubled the risk of developing non-Hodgkin[</w:t>
      </w:r>
      <w:r>
        <w:rPr>
          <w:rFonts w:ascii="Times New Roman" w:hAnsi="Times New Roman" w:cs="Times New Roman"/>
          <w:color w:val="000000"/>
          <w:sz w:val="20"/>
        </w:rPr>
        <w:t>’</w:t>
      </w:r>
      <w:r>
        <w:rPr>
          <w:rFonts w:ascii="Times New Roman" w:hAnsi="Times New Roman" w:cs="Times New Roman"/>
          <w:color w:val="000000"/>
          <w:sz w:val="20"/>
        </w:rPr>
        <w:t xml:space="preserve">s] </w:t>
      </w:r>
      <w:r>
        <w:rPr>
          <w:rFonts w:ascii="Times New Roman" w:hAnsi="Times New Roman" w:cs="Times New Roman"/>
          <w:color w:val="0000FF"/>
          <w:sz w:val="20"/>
        </w:rPr>
        <w:t>lymphoma</w:t>
      </w:r>
      <w:r>
        <w:rPr>
          <w:rFonts w:ascii="Times New Roman" w:hAnsi="Times New Roman" w:cs="Times New Roman"/>
          <w:color w:val="000000"/>
          <w:sz w:val="20"/>
        </w:rPr>
        <w:t>.</w:t>
      </w:r>
      <w:r>
        <w:rPr>
          <w:rFonts w:ascii="Times New Roman" w:hAnsi="Times New Roman" w:cs="Times New Roman"/>
          <w:color w:val="000000"/>
          <w:sz w:val="20"/>
        </w:rPr>
        <w:t>”</w:t>
      </w:r>
      <w:r>
        <w:rPr>
          <w:rFonts w:ascii="Times New Roman" w:hAnsi="Times New Roman" w:cs="Times New Roman"/>
          <w:color w:val="000000"/>
          <w:sz w:val="20"/>
        </w:rPr>
        <w:t xml:space="preserve"> He</w:t>
      </w:r>
      <w:r>
        <w:rPr>
          <w:rFonts w:ascii="Times New Roman" w:hAnsi="Times New Roman" w:cs="Times New Roman"/>
          <w:color w:val="000000"/>
          <w:sz w:val="20"/>
        </w:rPr>
        <w:t xml:space="preserve"> pointed to one study with a risk estimate of 2.1, and another one that showed double the risk for people who were exposed to glyphosate for more than two days per year. Yet another study showed that exposure to glyphosate more than ten days per year </w:t>
      </w:r>
      <w:r>
        <w:rPr>
          <w:rFonts w:ascii="Times New Roman" w:hAnsi="Times New Roman" w:cs="Times New Roman"/>
          <w:color w:val="000000"/>
          <w:sz w:val="20"/>
        </w:rPr>
        <w:lastRenderedPageBreak/>
        <w:t>resul</w:t>
      </w:r>
      <w:r>
        <w:rPr>
          <w:rFonts w:ascii="Times New Roman" w:hAnsi="Times New Roman" w:cs="Times New Roman"/>
          <w:color w:val="000000"/>
          <w:sz w:val="20"/>
        </w:rPr>
        <w:t xml:space="preserve">ts in a risk factor of 2.36, </w:t>
      </w:r>
      <w:r>
        <w:rPr>
          <w:rFonts w:ascii="Times New Roman" w:hAnsi="Times New Roman" w:cs="Times New Roman"/>
          <w:color w:val="000000"/>
          <w:sz w:val="20"/>
        </w:rPr>
        <w:t>“</w:t>
      </w:r>
      <w:r>
        <w:rPr>
          <w:rFonts w:ascii="Times New Roman" w:hAnsi="Times New Roman" w:cs="Times New Roman"/>
          <w:color w:val="000000"/>
          <w:sz w:val="20"/>
        </w:rPr>
        <w:t>so more than double the risk.</w:t>
      </w:r>
      <w:r>
        <w:rPr>
          <w:rFonts w:ascii="Times New Roman" w:hAnsi="Times New Roman" w:cs="Times New Roman"/>
          <w:color w:val="000000"/>
          <w:sz w:val="20"/>
        </w:rPr>
        <w:t>”</w:t>
      </w:r>
      <w:r>
        <w:rPr>
          <w:rFonts w:ascii="Times New Roman" w:hAnsi="Times New Roman" w:cs="Times New Roman"/>
          <w:color w:val="000000"/>
          <w:sz w:val="20"/>
        </w:rPr>
        <w:t xml:space="preserve"> Another expert noted that Johnson</w:t>
      </w:r>
      <w:r>
        <w:rPr>
          <w:rFonts w:ascii="Times New Roman" w:hAnsi="Times New Roman" w:cs="Times New Roman"/>
          <w:color w:val="000000"/>
          <w:sz w:val="20"/>
        </w:rPr>
        <w:t>’</w:t>
      </w:r>
      <w:r>
        <w:rPr>
          <w:rFonts w:ascii="Times New Roman" w:hAnsi="Times New Roman" w:cs="Times New Roman"/>
          <w:color w:val="000000"/>
          <w:sz w:val="20"/>
        </w:rPr>
        <w:t xml:space="preserve">s level of exposure to Roundup products was </w:t>
      </w:r>
      <w:r>
        <w:rPr>
          <w:rFonts w:ascii="Times New Roman" w:hAnsi="Times New Roman" w:cs="Times New Roman"/>
          <w:color w:val="000000"/>
          <w:sz w:val="20"/>
        </w:rPr>
        <w:t>“</w:t>
      </w:r>
      <w:r>
        <w:rPr>
          <w:rFonts w:ascii="Times New Roman" w:hAnsi="Times New Roman" w:cs="Times New Roman"/>
          <w:color w:val="000000"/>
          <w:sz w:val="20"/>
        </w:rPr>
        <w:t>beyond the worst case</w:t>
      </w:r>
      <w:r>
        <w:rPr>
          <w:rFonts w:ascii="Times New Roman" w:hAnsi="Times New Roman" w:cs="Times New Roman"/>
          <w:color w:val="000000"/>
          <w:sz w:val="20"/>
        </w:rPr>
        <w:t>”</w:t>
      </w:r>
      <w:r>
        <w:rPr>
          <w:rFonts w:ascii="Times New Roman" w:hAnsi="Times New Roman" w:cs="Times New Roman"/>
          <w:color w:val="000000"/>
          <w:sz w:val="20"/>
        </w:rPr>
        <w:t xml:space="preserve"> contained in the literature based on how much product he applied. This is substantial evidenc</w:t>
      </w:r>
      <w:r>
        <w:rPr>
          <w:rFonts w:ascii="Times New Roman" w:hAnsi="Times New Roman" w:cs="Times New Roman"/>
          <w:color w:val="000000"/>
          <w:sz w:val="20"/>
        </w:rPr>
        <w:t xml:space="preserve">e of causation under </w:t>
      </w:r>
      <w:r>
        <w:rPr>
          <w:rFonts w:ascii="Times New Roman" w:hAnsi="Times New Roman" w:cs="Times New Roman"/>
          <w:i/>
          <w:color w:val="000000"/>
          <w:sz w:val="20"/>
        </w:rPr>
        <w:t>Cooper</w:t>
      </w:r>
      <w:r>
        <w:rPr>
          <w:rFonts w:ascii="Times New Roman" w:hAnsi="Times New Roman" w:cs="Times New Roman"/>
          <w:color w:val="000000"/>
          <w:sz w:val="20"/>
        </w:rPr>
        <w:t xml:space="preserve">. (See also </w:t>
      </w:r>
      <w:r>
        <w:rPr>
          <w:rFonts w:ascii="Times New Roman" w:hAnsi="Times New Roman" w:cs="Times New Roman"/>
          <w:i/>
          <w:color w:val="0000FF"/>
          <w:sz w:val="20"/>
        </w:rPr>
        <w:t>Davis v. Honeywell Internat. Inc.</w:t>
      </w:r>
      <w:r>
        <w:rPr>
          <w:rFonts w:ascii="Times New Roman" w:hAnsi="Times New Roman" w:cs="Times New Roman"/>
          <w:color w:val="0000FF"/>
          <w:sz w:val="20"/>
        </w:rPr>
        <w:t xml:space="preserve"> (2016) 245 Cal.App.4th 477, 493</w:t>
      </w:r>
      <w:r>
        <w:rPr>
          <w:rFonts w:ascii="Times New Roman" w:hAnsi="Times New Roman" w:cs="Times New Roman"/>
          <w:color w:val="000000"/>
          <w:sz w:val="20"/>
        </w:rPr>
        <w:t xml:space="preserve"> [no requirement in California that plaintiff show that exposure to a product more than doubled plaintiff</w:t>
      </w:r>
      <w:r>
        <w:rPr>
          <w:rFonts w:ascii="Times New Roman" w:hAnsi="Times New Roman" w:cs="Times New Roman"/>
          <w:color w:val="000000"/>
          <w:sz w:val="20"/>
        </w:rPr>
        <w:t>’</w:t>
      </w:r>
      <w:r>
        <w:rPr>
          <w:rFonts w:ascii="Times New Roman" w:hAnsi="Times New Roman" w:cs="Times New Roman"/>
          <w:color w:val="000000"/>
          <w:sz w:val="20"/>
        </w:rPr>
        <w:t>s risk of contracting disease in order to esta</w:t>
      </w:r>
      <w:r>
        <w:rPr>
          <w:rFonts w:ascii="Times New Roman" w:hAnsi="Times New Roman" w:cs="Times New Roman"/>
          <w:color w:val="000000"/>
          <w:sz w:val="20"/>
        </w:rPr>
        <w:t>blish causation].)</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Oncologist Neugut</w:t>
      </w:r>
      <w:r>
        <w:rPr>
          <w:rFonts w:ascii="Times New Roman" w:hAnsi="Times New Roman" w:cs="Times New Roman"/>
          <w:color w:val="000000"/>
          <w:sz w:val="20"/>
        </w:rPr>
        <w:t>’</w:t>
      </w:r>
      <w:r>
        <w:rPr>
          <w:rFonts w:ascii="Times New Roman" w:hAnsi="Times New Roman" w:cs="Times New Roman"/>
          <w:color w:val="000000"/>
          <w:sz w:val="20"/>
        </w:rPr>
        <w:t>s testimony does not undermine the jury</w:t>
      </w:r>
      <w:r>
        <w:rPr>
          <w:rFonts w:ascii="Times New Roman" w:hAnsi="Times New Roman" w:cs="Times New Roman"/>
          <w:color w:val="000000"/>
          <w:sz w:val="20"/>
        </w:rPr>
        <w:t>’</w:t>
      </w:r>
      <w:r>
        <w:rPr>
          <w:rFonts w:ascii="Times New Roman" w:hAnsi="Times New Roman" w:cs="Times New Roman"/>
          <w:color w:val="000000"/>
          <w:sz w:val="20"/>
        </w:rPr>
        <w:t>s verdict, as Monsanto claims. Neugut testified on direct examination that he examined six studies, five of which were case-control studies, meaning they were studies that looke</w:t>
      </w:r>
      <w:r>
        <w:rPr>
          <w:rFonts w:ascii="Times New Roman" w:hAnsi="Times New Roman" w:cs="Times New Roman"/>
          <w:color w:val="000000"/>
          <w:sz w:val="20"/>
        </w:rPr>
        <w:t xml:space="preserve">d at people with </w:t>
      </w:r>
      <w:r>
        <w:rPr>
          <w:rFonts w:ascii="Times New Roman" w:hAnsi="Times New Roman" w:cs="Times New Roman"/>
          <w:color w:val="0000FF"/>
          <w:sz w:val="20"/>
        </w:rPr>
        <w:t>lymphoma</w:t>
      </w:r>
      <w:r>
        <w:rPr>
          <w:rFonts w:ascii="Times New Roman" w:hAnsi="Times New Roman" w:cs="Times New Roman"/>
          <w:color w:val="000000"/>
          <w:sz w:val="20"/>
        </w:rPr>
        <w:t xml:space="preserve"> and a control group of people who did not have </w:t>
      </w:r>
      <w:r>
        <w:rPr>
          <w:rFonts w:ascii="Times New Roman" w:hAnsi="Times New Roman" w:cs="Times New Roman"/>
          <w:color w:val="0000FF"/>
          <w:sz w:val="20"/>
        </w:rPr>
        <w:t>lymphoma</w:t>
      </w:r>
      <w:r>
        <w:rPr>
          <w:rFonts w:ascii="Times New Roman" w:hAnsi="Times New Roman" w:cs="Times New Roman"/>
          <w:color w:val="000000"/>
          <w:sz w:val="20"/>
        </w:rPr>
        <w:t xml:space="preserve">. He created a </w:t>
      </w:r>
      <w:r>
        <w:rPr>
          <w:rFonts w:ascii="Times New Roman" w:hAnsi="Times New Roman" w:cs="Times New Roman"/>
          <w:color w:val="000000"/>
          <w:sz w:val="20"/>
        </w:rPr>
        <w:t>“</w:t>
      </w:r>
      <w:r>
        <w:rPr>
          <w:rFonts w:ascii="Times New Roman" w:hAnsi="Times New Roman" w:cs="Times New Roman"/>
          <w:color w:val="000000"/>
          <w:sz w:val="20"/>
        </w:rPr>
        <w:t>Forest plot</w:t>
      </w:r>
      <w:r>
        <w:rPr>
          <w:rFonts w:ascii="Times New Roman" w:hAnsi="Times New Roman" w:cs="Times New Roman"/>
          <w:color w:val="000000"/>
          <w:sz w:val="20"/>
        </w:rPr>
        <w:t>”</w:t>
      </w:r>
      <w:r>
        <w:rPr>
          <w:rFonts w:ascii="Times New Roman" w:hAnsi="Times New Roman" w:cs="Times New Roman"/>
          <w:color w:val="000000"/>
          <w:sz w:val="20"/>
        </w:rPr>
        <w:t xml:space="preserve"> to show to the jury the association between exposure to glyphosate and </w:t>
      </w:r>
      <w:r>
        <w:rPr>
          <w:rFonts w:ascii="Times New Roman" w:hAnsi="Times New Roman" w:cs="Times New Roman"/>
          <w:color w:val="0000FF"/>
          <w:sz w:val="20"/>
        </w:rPr>
        <w:t>lymphoma</w:t>
      </w:r>
      <w:r>
        <w:rPr>
          <w:rFonts w:ascii="Times New Roman" w:hAnsi="Times New Roman" w:cs="Times New Roman"/>
          <w:color w:val="000000"/>
          <w:sz w:val="20"/>
        </w:rPr>
        <w:t xml:space="preserve">. Neugut explained that if the association between the substance and the disease was random, the studies would be </w:t>
      </w:r>
      <w:r>
        <w:rPr>
          <w:rFonts w:ascii="Times New Roman" w:hAnsi="Times New Roman" w:cs="Times New Roman"/>
          <w:color w:val="000000"/>
          <w:sz w:val="20"/>
        </w:rPr>
        <w:t>“</w:t>
      </w:r>
      <w:r>
        <w:rPr>
          <w:rFonts w:ascii="Times New Roman" w:hAnsi="Times New Roman" w:cs="Times New Roman"/>
          <w:color w:val="000000"/>
          <w:sz w:val="20"/>
        </w:rPr>
        <w:t>randomly distributed around 1. Half should be above. Half should be below. That</w:t>
      </w:r>
      <w:r>
        <w:rPr>
          <w:rFonts w:ascii="Times New Roman" w:hAnsi="Times New Roman" w:cs="Times New Roman"/>
          <w:color w:val="000000"/>
          <w:sz w:val="20"/>
        </w:rPr>
        <w:t>’</w:t>
      </w:r>
      <w:r>
        <w:rPr>
          <w:rFonts w:ascii="Times New Roman" w:hAnsi="Times New Roman" w:cs="Times New Roman"/>
          <w:color w:val="000000"/>
          <w:sz w:val="20"/>
        </w:rPr>
        <w:t>s what random means.</w:t>
      </w:r>
      <w:r>
        <w:rPr>
          <w:rFonts w:ascii="Times New Roman" w:hAnsi="Times New Roman" w:cs="Times New Roman"/>
          <w:color w:val="000000"/>
          <w:sz w:val="20"/>
        </w:rPr>
        <w:t>”</w:t>
      </w:r>
      <w:r>
        <w:rPr>
          <w:rFonts w:ascii="Times New Roman" w:hAnsi="Times New Roman" w:cs="Times New Roman"/>
          <w:color w:val="000000"/>
          <w:sz w:val="20"/>
        </w:rPr>
        <w:t xml:space="preserve"> Instead, all the studies were </w:t>
      </w:r>
      <w:r>
        <w:rPr>
          <w:rFonts w:ascii="Times New Roman" w:hAnsi="Times New Roman" w:cs="Times New Roman"/>
          <w:color w:val="000000"/>
          <w:sz w:val="20"/>
        </w:rPr>
        <w:t>“</w:t>
      </w:r>
      <w:r>
        <w:rPr>
          <w:rFonts w:ascii="Times New Roman" w:hAnsi="Times New Roman" w:cs="Times New Roman"/>
          <w:color w:val="000000"/>
          <w:sz w:val="20"/>
        </w:rPr>
        <w:t>above 1.</w:t>
      </w:r>
      <w:r>
        <w:rPr>
          <w:rFonts w:ascii="Times New Roman" w:hAnsi="Times New Roman" w:cs="Times New Roman"/>
          <w:color w:val="000000"/>
          <w:sz w:val="20"/>
        </w:rPr>
        <w:t xml:space="preserve"> All of them. That</w:t>
      </w:r>
      <w:r>
        <w:rPr>
          <w:rFonts w:ascii="Times New Roman" w:hAnsi="Times New Roman" w:cs="Times New Roman"/>
          <w:color w:val="000000"/>
          <w:sz w:val="20"/>
        </w:rPr>
        <w:t>’</w:t>
      </w:r>
      <w:r>
        <w:rPr>
          <w:rFonts w:ascii="Times New Roman" w:hAnsi="Times New Roman" w:cs="Times New Roman"/>
          <w:color w:val="000000"/>
          <w:sz w:val="20"/>
        </w:rPr>
        <w:t>s a phenomenon referred to in causal epidemiology as consistency. They</w:t>
      </w:r>
      <w:r>
        <w:rPr>
          <w:rFonts w:ascii="Times New Roman" w:hAnsi="Times New Roman" w:cs="Times New Roman"/>
          <w:color w:val="000000"/>
          <w:sz w:val="20"/>
        </w:rPr>
        <w:t>’</w:t>
      </w:r>
      <w:r>
        <w:rPr>
          <w:rFonts w:ascii="Times New Roman" w:hAnsi="Times New Roman" w:cs="Times New Roman"/>
          <w:color w:val="000000"/>
          <w:sz w:val="20"/>
        </w:rPr>
        <w:t>re consistently elevated above 1. Whatever flaws, problems, issues we</w:t>
      </w:r>
      <w:r>
        <w:rPr>
          <w:rFonts w:ascii="Times New Roman" w:hAnsi="Times New Roman" w:cs="Times New Roman"/>
          <w:color w:val="000000"/>
          <w:sz w:val="20"/>
        </w:rPr>
        <w:t>’</w:t>
      </w:r>
      <w:r>
        <w:rPr>
          <w:rFonts w:ascii="Times New Roman" w:hAnsi="Times New Roman" w:cs="Times New Roman"/>
          <w:color w:val="000000"/>
          <w:sz w:val="20"/>
        </w:rPr>
        <w:t>re all going to raise about these studies, one or the other, no studies are perfect, whatever th</w:t>
      </w:r>
      <w:r>
        <w:rPr>
          <w:rFonts w:ascii="Times New Roman" w:hAnsi="Times New Roman" w:cs="Times New Roman"/>
          <w:color w:val="000000"/>
          <w:sz w:val="20"/>
        </w:rPr>
        <w:t>ings each study does, no study is identical.... [¶] But all of them are consistently above 1, and that</w:t>
      </w:r>
      <w:r>
        <w:rPr>
          <w:rFonts w:ascii="Times New Roman" w:hAnsi="Times New Roman" w:cs="Times New Roman"/>
          <w:color w:val="000000"/>
          <w:sz w:val="20"/>
        </w:rPr>
        <w:t>’</w:t>
      </w:r>
      <w:r>
        <w:rPr>
          <w:rFonts w:ascii="Times New Roman" w:hAnsi="Times New Roman" w:cs="Times New Roman"/>
          <w:color w:val="000000"/>
          <w:sz w:val="20"/>
        </w:rPr>
        <w:t>s non[ ] random.</w:t>
      </w:r>
      <w:r>
        <w:rPr>
          <w:rFonts w:ascii="Times New Roman" w:hAnsi="Times New Roman" w:cs="Times New Roman"/>
          <w:color w:val="000000"/>
          <w:sz w:val="20"/>
        </w:rPr>
        <w:t>”</w:t>
      </w:r>
      <w:r>
        <w:rPr>
          <w:rFonts w:ascii="Times New Roman" w:hAnsi="Times New Roman" w:cs="Times New Roman"/>
          <w:color w:val="000000"/>
          <w:sz w:val="20"/>
        </w:rPr>
        <w:t xml:space="preserve"> Neugut further explained that when the studies were combined, </w:t>
      </w:r>
      <w:r>
        <w:rPr>
          <w:rFonts w:ascii="Times New Roman" w:hAnsi="Times New Roman" w:cs="Times New Roman"/>
          <w:color w:val="000000"/>
          <w:sz w:val="20"/>
        </w:rPr>
        <w:t>“</w:t>
      </w:r>
      <w:r>
        <w:rPr>
          <w:rFonts w:ascii="Times New Roman" w:hAnsi="Times New Roman" w:cs="Times New Roman"/>
          <w:color w:val="000000"/>
          <w:sz w:val="20"/>
        </w:rPr>
        <w:t>the risk ratio was 1.3, meaning that there was a 30-percent increased ri</w:t>
      </w:r>
      <w:r>
        <w:rPr>
          <w:rFonts w:ascii="Times New Roman" w:hAnsi="Times New Roman" w:cs="Times New Roman"/>
          <w:color w:val="000000"/>
          <w:sz w:val="20"/>
        </w:rPr>
        <w:t xml:space="preserve">sk of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in the context of glyphosate exposure, with a ... statistically significant 95-percent confidence interval.</w:t>
      </w:r>
      <w:r>
        <w:rPr>
          <w:rFonts w:ascii="Times New Roman" w:hAnsi="Times New Roman" w:cs="Times New Roman"/>
          <w:color w:val="000000"/>
          <w:sz w:val="20"/>
        </w:rPr>
        <w:t>”</w:t>
      </w:r>
      <w:r>
        <w:rPr>
          <w:rFonts w:ascii="Times New Roman" w:hAnsi="Times New Roman" w:cs="Times New Roman"/>
          <w:color w:val="000000"/>
          <w:sz w:val="20"/>
        </w:rPr>
        <w:t xml:space="preserve"> According to Neugut, it is </w:t>
      </w:r>
      <w:r>
        <w:rPr>
          <w:rFonts w:ascii="Times New Roman" w:hAnsi="Times New Roman" w:cs="Times New Roman"/>
          <w:color w:val="000000"/>
          <w:sz w:val="20"/>
        </w:rPr>
        <w:t>“</w:t>
      </w:r>
      <w:r>
        <w:rPr>
          <w:rFonts w:ascii="Times New Roman" w:hAnsi="Times New Roman" w:cs="Times New Roman"/>
          <w:color w:val="000000"/>
          <w:sz w:val="20"/>
        </w:rPr>
        <w:t>extremely difficult</w:t>
      </w:r>
      <w:r>
        <w:rPr>
          <w:rFonts w:ascii="Times New Roman" w:hAnsi="Times New Roman" w:cs="Times New Roman"/>
          <w:color w:val="000000"/>
          <w:sz w:val="20"/>
        </w:rPr>
        <w:t>”</w:t>
      </w:r>
      <w:r>
        <w:rPr>
          <w:rFonts w:ascii="Times New Roman" w:hAnsi="Times New Roman" w:cs="Times New Roman"/>
          <w:color w:val="000000"/>
          <w:sz w:val="20"/>
        </w:rPr>
        <w:t xml:space="preserve"> to get a statistically significant outcome in any individual study, a</w:t>
      </w:r>
      <w:r>
        <w:rPr>
          <w:rFonts w:ascii="Times New Roman" w:hAnsi="Times New Roman" w:cs="Times New Roman"/>
          <w:color w:val="000000"/>
          <w:sz w:val="20"/>
        </w:rPr>
        <w:t xml:space="preserve">nd he acknowledged that </w:t>
      </w:r>
      <w:r>
        <w:rPr>
          <w:rFonts w:ascii="Times New Roman" w:hAnsi="Times New Roman" w:cs="Times New Roman"/>
          <w:color w:val="000000"/>
          <w:sz w:val="20"/>
        </w:rPr>
        <w:t>“</w:t>
      </w:r>
      <w:r>
        <w:rPr>
          <w:rFonts w:ascii="Times New Roman" w:hAnsi="Times New Roman" w:cs="Times New Roman"/>
          <w:color w:val="000000"/>
          <w:sz w:val="20"/>
        </w:rPr>
        <w:t>none of them [the studies] are statistically significant on their own.</w:t>
      </w:r>
      <w:r>
        <w:rPr>
          <w:rFonts w:ascii="Times New Roman" w:hAnsi="Times New Roman" w:cs="Times New Roman"/>
          <w:color w:val="000000"/>
          <w:sz w:val="20"/>
        </w:rPr>
        <w:t>”</w:t>
      </w:r>
      <w:r>
        <w:rPr>
          <w:rFonts w:ascii="Times New Roman" w:hAnsi="Times New Roman" w:cs="Times New Roman"/>
          <w:color w:val="000000"/>
          <w:sz w:val="20"/>
        </w:rPr>
        <w:t xml:space="preserve"> But combining the studies reveals </w:t>
      </w:r>
      <w:r>
        <w:rPr>
          <w:rFonts w:ascii="Times New Roman" w:hAnsi="Times New Roman" w:cs="Times New Roman"/>
          <w:color w:val="000000"/>
          <w:sz w:val="20"/>
        </w:rPr>
        <w:t>“</w:t>
      </w:r>
      <w:r>
        <w:rPr>
          <w:rFonts w:ascii="Times New Roman" w:hAnsi="Times New Roman" w:cs="Times New Roman"/>
          <w:color w:val="000000"/>
          <w:sz w:val="20"/>
        </w:rPr>
        <w:t>the fact that they</w:t>
      </w:r>
      <w:r>
        <w:rPr>
          <w:rFonts w:ascii="Times New Roman" w:hAnsi="Times New Roman" w:cs="Times New Roman"/>
          <w:color w:val="000000"/>
          <w:sz w:val="20"/>
        </w:rPr>
        <w:t>’</w:t>
      </w:r>
      <w:r>
        <w:rPr>
          <w:rFonts w:ascii="Times New Roman" w:hAnsi="Times New Roman" w:cs="Times New Roman"/>
          <w:color w:val="000000"/>
          <w:sz w:val="20"/>
        </w:rPr>
        <w:t>re all consistently positive together,</w:t>
      </w:r>
      <w:r>
        <w:rPr>
          <w:rFonts w:ascii="Times New Roman" w:hAnsi="Times New Roman" w:cs="Times New Roman"/>
          <w:color w:val="000000"/>
          <w:sz w:val="20"/>
        </w:rPr>
        <w:t>”</w:t>
      </w:r>
      <w:r>
        <w:rPr>
          <w:rFonts w:ascii="Times New Roman" w:hAnsi="Times New Roman" w:cs="Times New Roman"/>
          <w:color w:val="000000"/>
          <w:sz w:val="20"/>
        </w:rPr>
        <w:t xml:space="preserve"> which </w:t>
      </w:r>
      <w:r>
        <w:rPr>
          <w:rFonts w:ascii="Times New Roman" w:hAnsi="Times New Roman" w:cs="Times New Roman"/>
          <w:color w:val="000000"/>
          <w:sz w:val="20"/>
        </w:rPr>
        <w:t>“</w:t>
      </w:r>
      <w:r>
        <w:rPr>
          <w:rFonts w:ascii="Times New Roman" w:hAnsi="Times New Roman" w:cs="Times New Roman"/>
          <w:color w:val="000000"/>
          <w:sz w:val="20"/>
        </w:rPr>
        <w:t>leads to a statistically significant positive exposure.</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Twice on cross-examination, Monsanto</w:t>
      </w:r>
      <w:r>
        <w:rPr>
          <w:rFonts w:ascii="Times New Roman" w:hAnsi="Times New Roman" w:cs="Times New Roman"/>
          <w:color w:val="000000"/>
          <w:sz w:val="20"/>
        </w:rPr>
        <w:t>’</w:t>
      </w:r>
      <w:r>
        <w:rPr>
          <w:rFonts w:ascii="Times New Roman" w:hAnsi="Times New Roman" w:cs="Times New Roman"/>
          <w:color w:val="000000"/>
          <w:sz w:val="20"/>
        </w:rPr>
        <w:t xml:space="preserve">s attorney asked Neugut to confirm that each individual study on the Forest plot was not statistically significant, which Neugut did. Neugut stressed again, though, that </w:t>
      </w:r>
      <w:r>
        <w:rPr>
          <w:rFonts w:ascii="Times New Roman" w:hAnsi="Times New Roman" w:cs="Times New Roman"/>
          <w:color w:val="000000"/>
          <w:sz w:val="20"/>
        </w:rPr>
        <w:t>“</w:t>
      </w:r>
      <w:r>
        <w:rPr>
          <w:rFonts w:ascii="Times New Roman" w:hAnsi="Times New Roman" w:cs="Times New Roman"/>
          <w:color w:val="000000"/>
          <w:sz w:val="20"/>
        </w:rPr>
        <w:t>across the board, as I said, to a greater or le</w:t>
      </w:r>
      <w:r>
        <w:rPr>
          <w:rFonts w:ascii="Times New Roman" w:hAnsi="Times New Roman" w:cs="Times New Roman"/>
          <w:color w:val="000000"/>
          <w:sz w:val="20"/>
        </w:rPr>
        <w:t>sser degree, they all [the studies] are positive by being to the right of one and thus I considered them on a whole positive with showing risk ratios greater than one. And the metaanalysis shows a cumulative risk ratio that</w:t>
      </w:r>
      <w:r>
        <w:rPr>
          <w:rFonts w:ascii="Times New Roman" w:hAnsi="Times New Roman" w:cs="Times New Roman"/>
          <w:color w:val="000000"/>
          <w:sz w:val="20"/>
        </w:rPr>
        <w:t>’</w:t>
      </w:r>
      <w:r>
        <w:rPr>
          <w:rFonts w:ascii="Times New Roman" w:hAnsi="Times New Roman" w:cs="Times New Roman"/>
          <w:color w:val="000000"/>
          <w:sz w:val="20"/>
        </w:rPr>
        <w:t>s greater than one as well.</w:t>
      </w:r>
      <w:r>
        <w:rPr>
          <w:rFonts w:ascii="Times New Roman" w:hAnsi="Times New Roman" w:cs="Times New Roman"/>
          <w:color w:val="000000"/>
          <w:sz w:val="20"/>
        </w:rPr>
        <w:t>”</w:t>
      </w:r>
      <w:r>
        <w:rPr>
          <w:rFonts w:ascii="Times New Roman" w:hAnsi="Times New Roman" w:cs="Times New Roman"/>
          <w:color w:val="000000"/>
          <w:sz w:val="20"/>
        </w:rPr>
        <w:t xml:space="preserve"> On </w:t>
      </w:r>
      <w:r>
        <w:rPr>
          <w:rFonts w:ascii="Times New Roman" w:hAnsi="Times New Roman" w:cs="Times New Roman"/>
          <w:color w:val="000000"/>
          <w:sz w:val="20"/>
        </w:rPr>
        <w:t xml:space="preserve">appeal, Monsanto contends that Neugut </w:t>
      </w:r>
      <w:r>
        <w:rPr>
          <w:rFonts w:ascii="Times New Roman" w:hAnsi="Times New Roman" w:cs="Times New Roman"/>
          <w:color w:val="000000"/>
          <w:sz w:val="20"/>
        </w:rPr>
        <w:t>“</w:t>
      </w:r>
      <w:r>
        <w:rPr>
          <w:rFonts w:ascii="Times New Roman" w:hAnsi="Times New Roman" w:cs="Times New Roman"/>
          <w:color w:val="000000"/>
          <w:sz w:val="20"/>
        </w:rPr>
        <w:t>conceded</w:t>
      </w:r>
      <w:r>
        <w:rPr>
          <w:rFonts w:ascii="Times New Roman" w:hAnsi="Times New Roman" w:cs="Times New Roman"/>
          <w:color w:val="000000"/>
          <w:sz w:val="20"/>
        </w:rPr>
        <w:t>”</w:t>
      </w:r>
      <w:r>
        <w:rPr>
          <w:rFonts w:ascii="Times New Roman" w:hAnsi="Times New Roman" w:cs="Times New Roman"/>
          <w:color w:val="000000"/>
          <w:sz w:val="20"/>
        </w:rPr>
        <w:t xml:space="preserve"> that none of the studies he considered showed a relative risk greater than 2.0, which Monsanto characterizes as a </w:t>
      </w:r>
      <w:r>
        <w:rPr>
          <w:rFonts w:ascii="Times New Roman" w:hAnsi="Times New Roman" w:cs="Times New Roman"/>
          <w:color w:val="000000"/>
          <w:sz w:val="20"/>
        </w:rPr>
        <w:t xml:space="preserve">concession that the studies lacked a </w:t>
      </w:r>
      <w:r>
        <w:rPr>
          <w:rFonts w:ascii="Times New Roman" w:hAnsi="Times New Roman" w:cs="Times New Roman"/>
          <w:color w:val="000000"/>
          <w:sz w:val="20"/>
        </w:rPr>
        <w:t>“</w:t>
      </w:r>
      <w:r>
        <w:rPr>
          <w:rFonts w:ascii="Times New Roman" w:hAnsi="Times New Roman" w:cs="Times New Roman"/>
          <w:color w:val="000000"/>
          <w:sz w:val="20"/>
        </w:rPr>
        <w:t>statistically significant result.</w:t>
      </w:r>
      <w:r>
        <w:rPr>
          <w:rFonts w:ascii="Times New Roman" w:hAnsi="Times New Roman" w:cs="Times New Roman"/>
          <w:color w:val="000000"/>
          <w:sz w:val="20"/>
        </w:rPr>
        <w:t>”</w:t>
      </w:r>
      <w:r>
        <w:rPr>
          <w:rFonts w:ascii="Times New Roman" w:hAnsi="Times New Roman" w:cs="Times New Roman"/>
          <w:color w:val="000000"/>
          <w:sz w:val="20"/>
        </w:rPr>
        <w:t xml:space="preserve"> But Monsanto sideste</w:t>
      </w:r>
      <w:r>
        <w:rPr>
          <w:rFonts w:ascii="Times New Roman" w:hAnsi="Times New Roman" w:cs="Times New Roman"/>
          <w:color w:val="000000"/>
          <w:sz w:val="20"/>
        </w:rPr>
        <w:t>ps Neugut</w:t>
      </w:r>
      <w:r>
        <w:rPr>
          <w:rFonts w:ascii="Times New Roman" w:hAnsi="Times New Roman" w:cs="Times New Roman"/>
          <w:color w:val="000000"/>
          <w:sz w:val="20"/>
        </w:rPr>
        <w:t>’</w:t>
      </w:r>
      <w:r>
        <w:rPr>
          <w:rFonts w:ascii="Times New Roman" w:hAnsi="Times New Roman" w:cs="Times New Roman"/>
          <w:color w:val="000000"/>
          <w:sz w:val="20"/>
        </w:rPr>
        <w:t xml:space="preserve">s main point: Taken together, the studies he considered showed a connection between glyphosate and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Although studies reporting relative risk estimates under 2.0 might not on their own establish causation, </w:t>
      </w:r>
      <w:r>
        <w:rPr>
          <w:rFonts w:ascii="Times New Roman" w:hAnsi="Times New Roman" w:cs="Times New Roman"/>
          <w:color w:val="000000"/>
          <w:sz w:val="20"/>
        </w:rPr>
        <w:t>“</w:t>
      </w:r>
      <w:r>
        <w:rPr>
          <w:rFonts w:ascii="Times New Roman" w:hAnsi="Times New Roman" w:cs="Times New Roman"/>
          <w:color w:val="000000"/>
          <w:sz w:val="20"/>
        </w:rPr>
        <w:t>they may be combi</w:t>
      </w:r>
      <w:r>
        <w:rPr>
          <w:rFonts w:ascii="Times New Roman" w:hAnsi="Times New Roman" w:cs="Times New Roman"/>
          <w:color w:val="000000"/>
          <w:sz w:val="20"/>
        </w:rPr>
        <w:t>ned with other evidence to provide proof of causation.</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Johnson &amp; Johnson Talcum Powder Cases</w:t>
      </w:r>
      <w:r>
        <w:rPr>
          <w:rFonts w:ascii="Times New Roman" w:hAnsi="Times New Roman" w:cs="Times New Roman"/>
          <w:color w:val="0000FF"/>
          <w:sz w:val="20"/>
        </w:rPr>
        <w:t xml:space="preserve"> (2019) 37 Cal.App.5th 292, 326</w:t>
      </w:r>
      <w:r>
        <w:rPr>
          <w:rFonts w:ascii="Times New Roman" w:hAnsi="Times New Roman" w:cs="Times New Roman"/>
          <w:color w:val="000000"/>
          <w:sz w:val="20"/>
        </w:rPr>
        <w:t xml:space="preserve"> (</w:t>
      </w:r>
      <w:r>
        <w:rPr>
          <w:rFonts w:ascii="Times New Roman" w:hAnsi="Times New Roman" w:cs="Times New Roman"/>
          <w:i/>
          <w:color w:val="000000"/>
          <w:sz w:val="20"/>
        </w:rPr>
        <w:t>Echeverria</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It was the jury</w:t>
      </w:r>
      <w:r>
        <w:rPr>
          <w:rFonts w:ascii="Times New Roman" w:hAnsi="Times New Roman" w:cs="Times New Roman"/>
          <w:color w:val="000000"/>
          <w:sz w:val="20"/>
        </w:rPr>
        <w:t>’</w:t>
      </w:r>
      <w:r>
        <w:rPr>
          <w:rFonts w:ascii="Times New Roman" w:hAnsi="Times New Roman" w:cs="Times New Roman"/>
          <w:color w:val="000000"/>
          <w:sz w:val="20"/>
        </w:rPr>
        <w:t>s duty to determine the experts</w:t>
      </w:r>
      <w:r>
        <w:rPr>
          <w:rFonts w:ascii="Times New Roman" w:hAnsi="Times New Roman" w:cs="Times New Roman"/>
          <w:color w:val="000000"/>
          <w:sz w:val="20"/>
        </w:rPr>
        <w:t>’</w:t>
      </w:r>
      <w:r>
        <w:rPr>
          <w:rFonts w:ascii="Times New Roman" w:hAnsi="Times New Roman" w:cs="Times New Roman"/>
          <w:color w:val="000000"/>
          <w:sz w:val="20"/>
        </w:rPr>
        <w:t xml:space="preserve"> credibility and to weigh their testimonies against contradictory</w:t>
      </w:r>
      <w:r>
        <w:rPr>
          <w:rFonts w:ascii="Times New Roman" w:hAnsi="Times New Roman" w:cs="Times New Roman"/>
          <w:color w:val="000000"/>
          <w:sz w:val="20"/>
        </w:rPr>
        <w:t xml:space="preserve"> evidence. (</w:t>
      </w:r>
      <w:r>
        <w:rPr>
          <w:rFonts w:ascii="Times New Roman" w:hAnsi="Times New Roman" w:cs="Times New Roman"/>
          <w:i/>
          <w:color w:val="0000FF"/>
          <w:sz w:val="20"/>
        </w:rPr>
        <w:t>Echeverria</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37 Cal.App.5th at p. 330</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We may not reweigh the evidence, make credibility determinations, or disregard reasonable inferences that may be drawn in favor of the verdict. Substantial evidence supported the jury</w:t>
      </w:r>
      <w:r>
        <w:rPr>
          <w:rFonts w:ascii="Times New Roman" w:hAnsi="Times New Roman" w:cs="Times New Roman"/>
          <w:color w:val="000000"/>
          <w:sz w:val="20"/>
        </w:rPr>
        <w:t>’</w:t>
      </w:r>
      <w:r>
        <w:rPr>
          <w:rFonts w:ascii="Times New Roman" w:hAnsi="Times New Roman" w:cs="Times New Roman"/>
          <w:color w:val="000000"/>
          <w:sz w:val="20"/>
        </w:rPr>
        <w:t>s finding</w:t>
      </w:r>
      <w:r>
        <w:rPr>
          <w:rFonts w:ascii="Times New Roman" w:hAnsi="Times New Roman" w:cs="Times New Roman"/>
          <w:color w:val="000000"/>
          <w:sz w:val="20"/>
        </w:rPr>
        <w:t>”</w:t>
      </w:r>
      <w:r>
        <w:rPr>
          <w:rFonts w:ascii="Times New Roman" w:hAnsi="Times New Roman" w:cs="Times New Roman"/>
          <w:color w:val="000000"/>
          <w:sz w:val="20"/>
        </w:rPr>
        <w:t xml:space="preserve"> th</w:t>
      </w:r>
      <w:r>
        <w:rPr>
          <w:rFonts w:ascii="Times New Roman" w:hAnsi="Times New Roman" w:cs="Times New Roman"/>
          <w:color w:val="000000"/>
          <w:sz w:val="20"/>
        </w:rPr>
        <w:t>at Roundup products were a substantial factor in causing Johnson</w:t>
      </w:r>
      <w:r>
        <w:rPr>
          <w:rFonts w:ascii="Times New Roman" w:hAnsi="Times New Roman" w:cs="Times New Roman"/>
          <w:color w:val="000000"/>
          <w:sz w:val="20"/>
        </w:rPr>
        <w:t>’</w:t>
      </w:r>
      <w:r>
        <w:rPr>
          <w:rFonts w:ascii="Times New Roman" w:hAnsi="Times New Roman" w:cs="Times New Roman"/>
          <w:color w:val="000000"/>
          <w:sz w:val="20"/>
        </w:rPr>
        <w:t xml:space="preserve">s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w:t>
      </w:r>
      <w:r>
        <w:rPr>
          <w:rFonts w:ascii="Times New Roman" w:hAnsi="Times New Roman" w:cs="Times New Roman"/>
          <w:i/>
          <w:color w:val="0000FF"/>
          <w:sz w:val="20"/>
        </w:rPr>
        <w:t>Id.</w:t>
      </w:r>
      <w:r>
        <w:rPr>
          <w:rFonts w:ascii="Times New Roman" w:hAnsi="Times New Roman" w:cs="Times New Roman"/>
          <w:color w:val="0000FF"/>
          <w:sz w:val="20"/>
        </w:rPr>
        <w:t xml:space="preserve"> at p. 332</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33" w:name="co_anchor_I2f680621cad611eaad728cad1da01"/>
      <w:bookmarkStart w:id="34" w:name="_GoBack"/>
      <w:bookmarkEnd w:id="33"/>
      <w:bookmarkEnd w:id="34"/>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600" w:after="200"/>
        <w:jc w:val="center"/>
        <w:rPr>
          <w:rFonts w:ascii="Times New Roman" w:hAnsi="Times New Roman" w:cs="Times New Roman"/>
          <w:color w:val="000000"/>
          <w:sz w:val="20"/>
        </w:rPr>
      </w:pPr>
      <w:r>
        <w:rPr>
          <w:rFonts w:ascii="Times New Roman" w:hAnsi="Times New Roman" w:cs="Times New Roman"/>
          <w:color w:val="000000"/>
          <w:sz w:val="20"/>
        </w:rPr>
        <w:t>4. Federal Law Does Not Preempt Johnson</w:t>
      </w:r>
      <w:r>
        <w:rPr>
          <w:rFonts w:ascii="Times New Roman" w:hAnsi="Times New Roman" w:cs="Times New Roman"/>
          <w:color w:val="000000"/>
          <w:sz w:val="20"/>
        </w:rPr>
        <w:t>’</w:t>
      </w:r>
      <w:r>
        <w:rPr>
          <w:rFonts w:ascii="Times New Roman" w:hAnsi="Times New Roman" w:cs="Times New Roman"/>
          <w:color w:val="000000"/>
          <w:sz w:val="20"/>
        </w:rPr>
        <w:t>s Causes of Action.</w:t>
      </w:r>
    </w:p>
    <w:p w:rsidR="00000000" w:rsidRDefault="00A96DC8">
      <w:pPr>
        <w:autoSpaceDE w:val="0"/>
        <w:autoSpaceDN w:val="0"/>
        <w:adjustRightInd w:val="0"/>
        <w:jc w:val="both"/>
        <w:rPr>
          <w:rFonts w:ascii="Times New Roman" w:hAnsi="Times New Roman" w:cs="Times New Roman"/>
          <w:color w:val="000000"/>
          <w:sz w:val="20"/>
        </w:rPr>
      </w:pPr>
      <w:bookmarkStart w:id="35" w:name="co_pp_sp_999_16_1"/>
      <w:bookmarkEnd w:id="35"/>
      <w:r>
        <w:rPr>
          <w:rFonts w:ascii="Times New Roman" w:hAnsi="Times New Roman" w:cs="Times New Roman"/>
          <w:b/>
          <w:color w:val="000000"/>
          <w:sz w:val="20"/>
        </w:rPr>
        <w:t>*16</w:t>
      </w:r>
      <w:r>
        <w:rPr>
          <w:rFonts w:ascii="Times New Roman" w:hAnsi="Times New Roman" w:cs="Times New Roman"/>
          <w:color w:val="000000"/>
          <w:sz w:val="20"/>
        </w:rPr>
        <w:t xml:space="preserve"> Monsanto next renews its claim, rejected below on summary judgment, that Johnson</w:t>
      </w:r>
      <w:r>
        <w:rPr>
          <w:rFonts w:ascii="Times New Roman" w:hAnsi="Times New Roman" w:cs="Times New Roman"/>
          <w:color w:val="000000"/>
          <w:sz w:val="20"/>
        </w:rPr>
        <w:t>’</w:t>
      </w:r>
      <w:r>
        <w:rPr>
          <w:rFonts w:ascii="Times New Roman" w:hAnsi="Times New Roman" w:cs="Times New Roman"/>
          <w:color w:val="000000"/>
          <w:sz w:val="20"/>
        </w:rPr>
        <w:t xml:space="preserve">s causes of action were preempted under the Federal Insecticide, Fungicide, and Rodenticide Act (FIFRA, </w:t>
      </w:r>
      <w:r>
        <w:rPr>
          <w:rFonts w:ascii="Times New Roman" w:hAnsi="Times New Roman" w:cs="Times New Roman"/>
          <w:color w:val="0000FF"/>
          <w:sz w:val="20"/>
        </w:rPr>
        <w:t>7 U.S.C. § 136 et seq.</w:t>
      </w:r>
      <w:r>
        <w:rPr>
          <w:rFonts w:ascii="Times New Roman" w:hAnsi="Times New Roman" w:cs="Times New Roman"/>
          <w:color w:val="000000"/>
          <w:sz w:val="20"/>
        </w:rPr>
        <w:t>). Monsanto dev</w:t>
      </w:r>
      <w:r>
        <w:rPr>
          <w:rFonts w:ascii="Times New Roman" w:hAnsi="Times New Roman" w:cs="Times New Roman"/>
          <w:color w:val="000000"/>
          <w:sz w:val="20"/>
        </w:rPr>
        <w:t>oted only a small portion of its opening brief to the issue, but after filing its brief, sought to augment the record with additional EPA records it considered pertinent. The records provoked additional motions and briefing. After considering these materia</w:t>
      </w:r>
      <w:r>
        <w:rPr>
          <w:rFonts w:ascii="Times New Roman" w:hAnsi="Times New Roman" w:cs="Times New Roman"/>
          <w:color w:val="000000"/>
          <w:sz w:val="20"/>
        </w:rPr>
        <w:t>ls and arguments, we conclude that Monsanto has failed on the record before us to establish that Johnson</w:t>
      </w:r>
      <w:r>
        <w:rPr>
          <w:rFonts w:ascii="Times New Roman" w:hAnsi="Times New Roman" w:cs="Times New Roman"/>
          <w:color w:val="000000"/>
          <w:sz w:val="20"/>
        </w:rPr>
        <w:t>’</w:t>
      </w:r>
      <w:r>
        <w:rPr>
          <w:rFonts w:ascii="Times New Roman" w:hAnsi="Times New Roman" w:cs="Times New Roman"/>
          <w:color w:val="000000"/>
          <w:sz w:val="20"/>
        </w:rPr>
        <w:t>s failure-to-warn causes of action were preempted. Furthermore, and regardless of this conclusion, we also conclude that Johnson</w:t>
      </w:r>
      <w:r>
        <w:rPr>
          <w:rFonts w:ascii="Times New Roman" w:hAnsi="Times New Roman" w:cs="Times New Roman"/>
          <w:color w:val="000000"/>
          <w:sz w:val="20"/>
        </w:rPr>
        <w:t>’</w:t>
      </w:r>
      <w:r>
        <w:rPr>
          <w:rFonts w:ascii="Times New Roman" w:hAnsi="Times New Roman" w:cs="Times New Roman"/>
          <w:color w:val="000000"/>
          <w:sz w:val="20"/>
        </w:rPr>
        <w:t xml:space="preserve">s design defect claim </w:t>
      </w:r>
      <w:r>
        <w:rPr>
          <w:rFonts w:ascii="Times New Roman" w:hAnsi="Times New Roman" w:cs="Times New Roman"/>
          <w:color w:val="000000"/>
          <w:sz w:val="20"/>
        </w:rPr>
        <w:t>based on the consumer expectations test was not preempted and provides an independent basis to support the jury</w:t>
      </w:r>
      <w:r>
        <w:rPr>
          <w:rFonts w:ascii="Times New Roman" w:hAnsi="Times New Roman" w:cs="Times New Roman"/>
          <w:color w:val="000000"/>
          <w:sz w:val="20"/>
        </w:rPr>
        <w:t>’</w:t>
      </w:r>
      <w:r>
        <w:rPr>
          <w:rFonts w:ascii="Times New Roman" w:hAnsi="Times New Roman" w:cs="Times New Roman"/>
          <w:color w:val="000000"/>
          <w:sz w:val="20"/>
        </w:rPr>
        <w:t>s liability determination.</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36" w:name="co_anchor_I2f68f081cad611eaad728cad1da01"/>
      <w:bookmarkEnd w:id="36"/>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600" w:after="200"/>
        <w:jc w:val="center"/>
        <w:rPr>
          <w:rFonts w:ascii="Times New Roman" w:hAnsi="Times New Roman" w:cs="Times New Roman"/>
          <w:color w:val="000000"/>
          <w:sz w:val="20"/>
        </w:rPr>
      </w:pPr>
      <w:r>
        <w:rPr>
          <w:rFonts w:ascii="Times New Roman" w:hAnsi="Times New Roman" w:cs="Times New Roman"/>
          <w:color w:val="000000"/>
          <w:sz w:val="20"/>
        </w:rPr>
        <w:t>a. General Preemption Principles and the Federal Statute.</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The Supremacy Clause provides that federal laws are the supreme law of the land, and any state laws that conflict </w:t>
      </w:r>
      <w:r>
        <w:rPr>
          <w:rFonts w:ascii="Times New Roman" w:hAnsi="Times New Roman" w:cs="Times New Roman"/>
          <w:color w:val="000000"/>
          <w:sz w:val="20"/>
        </w:rPr>
        <w:lastRenderedPageBreak/>
        <w:t>with them are preempted. (</w:t>
      </w:r>
      <w:r>
        <w:rPr>
          <w:rFonts w:ascii="Times New Roman" w:hAnsi="Times New Roman" w:cs="Times New Roman"/>
          <w:i/>
          <w:color w:val="252525"/>
          <w:sz w:val="20"/>
          <w:shd w:val="clear" w:color="auto" w:fill="FFFF66"/>
        </w:rPr>
        <w:t>Mutual Pharmaceutical Co., Inc. v. Bartlett</w:t>
      </w:r>
      <w:r>
        <w:rPr>
          <w:rFonts w:ascii="Times New Roman" w:hAnsi="Times New Roman" w:cs="Times New Roman"/>
          <w:color w:val="252525"/>
          <w:sz w:val="20"/>
          <w:shd w:val="clear" w:color="auto" w:fill="FFFF66"/>
        </w:rPr>
        <w:t xml:space="preserve"> (2013) 570 U.S</w:t>
      </w:r>
      <w:r>
        <w:rPr>
          <w:rFonts w:ascii="Times New Roman" w:hAnsi="Times New Roman" w:cs="Times New Roman"/>
          <w:color w:val="252525"/>
          <w:sz w:val="20"/>
          <w:shd w:val="clear" w:color="auto" w:fill="FFFF66"/>
        </w:rPr>
        <w:t>. 472, 479</w:t>
      </w:r>
      <w:r>
        <w:rPr>
          <w:rFonts w:ascii="Times New Roman" w:hAnsi="Times New Roman" w:cs="Times New Roman"/>
          <w:color w:val="252525"/>
          <w:sz w:val="20"/>
          <w:shd w:val="clear" w:color="auto" w:fill="FFFF66"/>
        </w:rPr>
        <w:t>–</w:t>
      </w:r>
      <w:r>
        <w:rPr>
          <w:rFonts w:ascii="Times New Roman" w:hAnsi="Times New Roman" w:cs="Times New Roman"/>
          <w:color w:val="252525"/>
          <w:sz w:val="20"/>
          <w:shd w:val="clear" w:color="auto" w:fill="FFFF66"/>
        </w:rPr>
        <w:t>480</w:t>
      </w:r>
      <w:r>
        <w:rPr>
          <w:rFonts w:ascii="Times New Roman" w:hAnsi="Times New Roman" w:cs="Times New Roman"/>
          <w:color w:val="000000"/>
          <w:sz w:val="20"/>
        </w:rPr>
        <w:t xml:space="preserve"> (</w:t>
      </w:r>
      <w:r>
        <w:rPr>
          <w:rFonts w:ascii="Times New Roman" w:hAnsi="Times New Roman" w:cs="Times New Roman"/>
          <w:i/>
          <w:color w:val="252525"/>
          <w:sz w:val="20"/>
          <w:shd w:val="clear" w:color="auto" w:fill="FFFF66"/>
        </w:rPr>
        <w:t>Bartlett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There are four species of federal preemption: express, conflict, obstacle, and field.</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Viva! Internat. Voice for Animals v. Adidas Promotional Retail Operations, Inc.</w:t>
      </w:r>
      <w:r>
        <w:rPr>
          <w:rFonts w:ascii="Times New Roman" w:hAnsi="Times New Roman" w:cs="Times New Roman"/>
          <w:color w:val="0000FF"/>
          <w:sz w:val="20"/>
        </w:rPr>
        <w:t xml:space="preserve"> (2007) 41 Cal.4th 929, 935</w:t>
      </w:r>
      <w:r>
        <w:rPr>
          <w:rFonts w:ascii="Times New Roman" w:hAnsi="Times New Roman" w:cs="Times New Roman"/>
          <w:color w:val="000000"/>
          <w:sz w:val="20"/>
        </w:rPr>
        <w:t>.) Only the first two are implica</w:t>
      </w:r>
      <w:r>
        <w:rPr>
          <w:rFonts w:ascii="Times New Roman" w:hAnsi="Times New Roman" w:cs="Times New Roman"/>
          <w:color w:val="000000"/>
          <w:sz w:val="20"/>
        </w:rPr>
        <w:t>ted here. Express preemption arises when Congress explicitly defines the extent to which its enactments preempt state law. (</w:t>
      </w:r>
      <w:r>
        <w:rPr>
          <w:rFonts w:ascii="Times New Roman" w:hAnsi="Times New Roman" w:cs="Times New Roman"/>
          <w:i/>
          <w:color w:val="0000FF"/>
          <w:sz w:val="20"/>
        </w:rPr>
        <w:t>Id.</w:t>
      </w:r>
      <w:r>
        <w:rPr>
          <w:rFonts w:ascii="Times New Roman" w:hAnsi="Times New Roman" w:cs="Times New Roman"/>
          <w:color w:val="0000FF"/>
          <w:sz w:val="20"/>
        </w:rPr>
        <w:t xml:space="preserve"> at p. 936</w:t>
      </w:r>
      <w:r>
        <w:rPr>
          <w:rFonts w:ascii="Times New Roman" w:hAnsi="Times New Roman" w:cs="Times New Roman"/>
          <w:color w:val="000000"/>
          <w:sz w:val="20"/>
        </w:rPr>
        <w:t>.) Conflict preemption occurs when it is impossible to simultaneously comply with both state and federal law. (</w:t>
      </w:r>
      <w:r>
        <w:rPr>
          <w:rFonts w:ascii="Times New Roman" w:hAnsi="Times New Roman" w:cs="Times New Roman"/>
          <w:i/>
          <w:color w:val="000000"/>
          <w:sz w:val="20"/>
        </w:rPr>
        <w:t>Ibid.</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Two principles guide preemption jurisprudence: First, Congress</w:t>
      </w:r>
      <w:r>
        <w:rPr>
          <w:rFonts w:ascii="Times New Roman" w:hAnsi="Times New Roman" w:cs="Times New Roman"/>
          <w:color w:val="000000"/>
          <w:sz w:val="20"/>
        </w:rPr>
        <w:t>’</w:t>
      </w:r>
      <w:r>
        <w:rPr>
          <w:rFonts w:ascii="Times New Roman" w:hAnsi="Times New Roman" w:cs="Times New Roman"/>
          <w:color w:val="000000"/>
          <w:sz w:val="20"/>
        </w:rPr>
        <w:t>s intent is paramount, and second, especially in cases where Congress has legislated in a field that states traditionally have occupied, courts assume that Congress did not intend to preempt s</w:t>
      </w:r>
      <w:r>
        <w:rPr>
          <w:rFonts w:ascii="Times New Roman" w:hAnsi="Times New Roman" w:cs="Times New Roman"/>
          <w:color w:val="000000"/>
          <w:sz w:val="20"/>
        </w:rPr>
        <w:t>tate powers unless that was Congress</w:t>
      </w:r>
      <w:r>
        <w:rPr>
          <w:rFonts w:ascii="Times New Roman" w:hAnsi="Times New Roman" w:cs="Times New Roman"/>
          <w:color w:val="000000"/>
          <w:sz w:val="20"/>
        </w:rPr>
        <w:t>’</w:t>
      </w:r>
      <w:r>
        <w:rPr>
          <w:rFonts w:ascii="Times New Roman" w:hAnsi="Times New Roman" w:cs="Times New Roman"/>
          <w:color w:val="000000"/>
          <w:sz w:val="20"/>
        </w:rPr>
        <w:t>s clear and manifest purpose. (</w:t>
      </w:r>
      <w:r>
        <w:rPr>
          <w:rFonts w:ascii="Times New Roman" w:hAnsi="Times New Roman" w:cs="Times New Roman"/>
          <w:i/>
          <w:color w:val="0000FF"/>
          <w:sz w:val="20"/>
        </w:rPr>
        <w:t>Wyeth v. Levine</w:t>
      </w:r>
      <w:r>
        <w:rPr>
          <w:rFonts w:ascii="Times New Roman" w:hAnsi="Times New Roman" w:cs="Times New Roman"/>
          <w:color w:val="0000FF"/>
          <w:sz w:val="20"/>
        </w:rPr>
        <w:t xml:space="preserve"> (2009) 555 U.S. 555, 565</w:t>
      </w:r>
      <w:r>
        <w:rPr>
          <w:rFonts w:ascii="Times New Roman" w:hAnsi="Times New Roman" w:cs="Times New Roman"/>
          <w:color w:val="000000"/>
          <w:sz w:val="20"/>
        </w:rPr>
        <w:t xml:space="preserve"> (</w:t>
      </w:r>
      <w:r>
        <w:rPr>
          <w:rFonts w:ascii="Times New Roman" w:hAnsi="Times New Roman" w:cs="Times New Roman"/>
          <w:i/>
          <w:color w:val="000000"/>
          <w:sz w:val="20"/>
        </w:rPr>
        <w:t>Wyeth</w:t>
      </w:r>
      <w:r>
        <w:rPr>
          <w:rFonts w:ascii="Times New Roman" w:hAnsi="Times New Roman" w:cs="Times New Roman"/>
          <w:color w:val="000000"/>
          <w:sz w:val="20"/>
        </w:rPr>
        <w:t>).) Even where Congress has not expressly preempted state law, state law may be impliedly preempted where it is impossible for a party to com</w:t>
      </w:r>
      <w:r>
        <w:rPr>
          <w:rFonts w:ascii="Times New Roman" w:hAnsi="Times New Roman" w:cs="Times New Roman"/>
          <w:color w:val="000000"/>
          <w:sz w:val="20"/>
        </w:rPr>
        <w:t>ply with both state and federal requirements. (</w:t>
      </w:r>
      <w:r>
        <w:rPr>
          <w:rFonts w:ascii="Times New Roman" w:hAnsi="Times New Roman" w:cs="Times New Roman"/>
          <w:i/>
          <w:color w:val="0000FF"/>
          <w:sz w:val="20"/>
        </w:rPr>
        <w:t>Id.</w:t>
      </w:r>
      <w:r>
        <w:rPr>
          <w:rFonts w:ascii="Times New Roman" w:hAnsi="Times New Roman" w:cs="Times New Roman"/>
          <w:color w:val="0000FF"/>
          <w:sz w:val="20"/>
        </w:rPr>
        <w:t xml:space="preserve"> at p. 568</w:t>
      </w:r>
      <w:r>
        <w:rPr>
          <w:rFonts w:ascii="Times New Roman" w:hAnsi="Times New Roman" w:cs="Times New Roman"/>
          <w:color w:val="000000"/>
          <w:sz w:val="20"/>
        </w:rPr>
        <w:t xml:space="preserve">; </w:t>
      </w:r>
      <w:r>
        <w:rPr>
          <w:rFonts w:ascii="Times New Roman" w:hAnsi="Times New Roman" w:cs="Times New Roman"/>
          <w:i/>
          <w:color w:val="252525"/>
          <w:sz w:val="20"/>
          <w:shd w:val="clear" w:color="auto" w:fill="FFFF66"/>
        </w:rPr>
        <w:t>Bartlett</w:t>
      </w:r>
      <w:r>
        <w:rPr>
          <w:rFonts w:ascii="Times New Roman" w:hAnsi="Times New Roman" w:cs="Times New Roman"/>
          <w:color w:val="252525"/>
          <w:sz w:val="20"/>
          <w:shd w:val="clear" w:color="auto" w:fill="FFFF66"/>
        </w:rPr>
        <w:t xml:space="preserve">, </w:t>
      </w:r>
      <w:r>
        <w:rPr>
          <w:rFonts w:ascii="Times New Roman" w:hAnsi="Times New Roman" w:cs="Times New Roman"/>
          <w:i/>
          <w:color w:val="252525"/>
          <w:sz w:val="20"/>
          <w:shd w:val="clear" w:color="auto" w:fill="FFFF66"/>
        </w:rPr>
        <w:t>supra</w:t>
      </w:r>
      <w:r>
        <w:rPr>
          <w:rFonts w:ascii="Times New Roman" w:hAnsi="Times New Roman" w:cs="Times New Roman"/>
          <w:color w:val="252525"/>
          <w:sz w:val="20"/>
          <w:shd w:val="clear" w:color="auto" w:fill="FFFF66"/>
        </w:rPr>
        <w:t>, 570 U.S. at p. 480</w:t>
      </w:r>
      <w:r>
        <w:rPr>
          <w:rFonts w:ascii="Times New Roman" w:hAnsi="Times New Roman" w:cs="Times New Roman"/>
          <w:color w:val="000000"/>
          <w:sz w:val="20"/>
        </w:rPr>
        <w:t xml:space="preserve">.) But only a federal rule that holds </w:t>
      </w:r>
      <w:r>
        <w:rPr>
          <w:rFonts w:ascii="Times New Roman" w:hAnsi="Times New Roman" w:cs="Times New Roman"/>
          <w:color w:val="000000"/>
          <w:sz w:val="20"/>
        </w:rPr>
        <w:t>“</w:t>
      </w:r>
      <w:r>
        <w:rPr>
          <w:rFonts w:ascii="Times New Roman" w:hAnsi="Times New Roman" w:cs="Times New Roman"/>
          <w:color w:val="000000"/>
          <w:sz w:val="20"/>
        </w:rPr>
        <w:t>the force of law</w:t>
      </w:r>
      <w:r>
        <w:rPr>
          <w:rFonts w:ascii="Times New Roman" w:hAnsi="Times New Roman" w:cs="Times New Roman"/>
          <w:color w:val="000000"/>
          <w:sz w:val="20"/>
        </w:rPr>
        <w:t>”</w:t>
      </w:r>
      <w:r>
        <w:rPr>
          <w:rFonts w:ascii="Times New Roman" w:hAnsi="Times New Roman" w:cs="Times New Roman"/>
          <w:color w:val="000000"/>
          <w:sz w:val="20"/>
        </w:rPr>
        <w:t xml:space="preserve"> will preempt a conflicting state requirement; a federal agency</w:t>
      </w:r>
      <w:r>
        <w:rPr>
          <w:rFonts w:ascii="Times New Roman" w:hAnsi="Times New Roman" w:cs="Times New Roman"/>
          <w:color w:val="000000"/>
          <w:sz w:val="20"/>
        </w:rPr>
        <w:t>’</w:t>
      </w:r>
      <w:r>
        <w:rPr>
          <w:rFonts w:ascii="Times New Roman" w:hAnsi="Times New Roman" w:cs="Times New Roman"/>
          <w:color w:val="000000"/>
          <w:sz w:val="20"/>
        </w:rPr>
        <w:t xml:space="preserve">s </w:t>
      </w:r>
      <w:r>
        <w:rPr>
          <w:rFonts w:ascii="Times New Roman" w:hAnsi="Times New Roman" w:cs="Times New Roman"/>
          <w:color w:val="000000"/>
          <w:sz w:val="20"/>
        </w:rPr>
        <w:t>“</w:t>
      </w:r>
      <w:r>
        <w:rPr>
          <w:rFonts w:ascii="Times New Roman" w:hAnsi="Times New Roman" w:cs="Times New Roman"/>
          <w:color w:val="000000"/>
          <w:sz w:val="20"/>
        </w:rPr>
        <w:t>mere assertion</w:t>
      </w:r>
      <w:r>
        <w:rPr>
          <w:rFonts w:ascii="Times New Roman" w:hAnsi="Times New Roman" w:cs="Times New Roman"/>
          <w:color w:val="000000"/>
          <w:sz w:val="20"/>
        </w:rPr>
        <w:t>”</w:t>
      </w:r>
      <w:r>
        <w:rPr>
          <w:rFonts w:ascii="Times New Roman" w:hAnsi="Times New Roman" w:cs="Times New Roman"/>
          <w:color w:val="000000"/>
          <w:sz w:val="20"/>
        </w:rPr>
        <w:t xml:space="preserve"> of preemption will not. (</w:t>
      </w:r>
      <w:r>
        <w:rPr>
          <w:rFonts w:ascii="Times New Roman" w:hAnsi="Times New Roman" w:cs="Times New Roman"/>
          <w:i/>
          <w:color w:val="000000"/>
          <w:sz w:val="20"/>
        </w:rPr>
        <w:t>Wyeth</w:t>
      </w:r>
      <w:r>
        <w:rPr>
          <w:rFonts w:ascii="Times New Roman" w:hAnsi="Times New Roman" w:cs="Times New Roman"/>
          <w:color w:val="000000"/>
          <w:sz w:val="20"/>
        </w:rPr>
        <w:t>, at p. 576.)</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To identify Congress</w:t>
      </w:r>
      <w:r>
        <w:rPr>
          <w:rFonts w:ascii="Times New Roman" w:hAnsi="Times New Roman" w:cs="Times New Roman"/>
          <w:color w:val="000000"/>
          <w:sz w:val="20"/>
        </w:rPr>
        <w:t>’</w:t>
      </w:r>
      <w:r>
        <w:rPr>
          <w:rFonts w:ascii="Times New Roman" w:hAnsi="Times New Roman" w:cs="Times New Roman"/>
          <w:color w:val="000000"/>
          <w:sz w:val="20"/>
        </w:rPr>
        <w:t>s purpose, we first look to the federal statute. FIFRA is a comprehensive statute that regulates the use, sale, and labeling of pesticides; regulates pesticides produced and sold in both i</w:t>
      </w:r>
      <w:r>
        <w:rPr>
          <w:rFonts w:ascii="Times New Roman" w:hAnsi="Times New Roman" w:cs="Times New Roman"/>
          <w:color w:val="000000"/>
          <w:sz w:val="20"/>
        </w:rPr>
        <w:t xml:space="preserve">ntrastate and interstate commerce; provides for review, cancellation, and suspension of registering pesticides; and gives the EPA enforcement authority. (See </w:t>
      </w:r>
      <w:r>
        <w:rPr>
          <w:rFonts w:ascii="Times New Roman" w:hAnsi="Times New Roman" w:cs="Times New Roman"/>
          <w:i/>
          <w:color w:val="0000FF"/>
          <w:sz w:val="20"/>
        </w:rPr>
        <w:t>Bates v. Dow Agrosciences LLC</w:t>
      </w:r>
      <w:r>
        <w:rPr>
          <w:rFonts w:ascii="Times New Roman" w:hAnsi="Times New Roman" w:cs="Times New Roman"/>
          <w:color w:val="0000FF"/>
          <w:sz w:val="20"/>
        </w:rPr>
        <w:t xml:space="preserve"> (2005) 544 U.S. 431, 437</w:t>
      </w:r>
      <w:r>
        <w:rPr>
          <w:rFonts w:ascii="Times New Roman" w:hAnsi="Times New Roman" w:cs="Times New Roman"/>
          <w:color w:val="000000"/>
          <w:sz w:val="20"/>
        </w:rPr>
        <w:t xml:space="preserve"> (</w:t>
      </w:r>
      <w:r>
        <w:rPr>
          <w:rFonts w:ascii="Times New Roman" w:hAnsi="Times New Roman" w:cs="Times New Roman"/>
          <w:i/>
          <w:color w:val="000000"/>
          <w:sz w:val="20"/>
        </w:rPr>
        <w:t>Bates</w:t>
      </w:r>
      <w:r>
        <w:rPr>
          <w:rFonts w:ascii="Times New Roman" w:hAnsi="Times New Roman" w:cs="Times New Roman"/>
          <w:color w:val="000000"/>
          <w:sz w:val="20"/>
        </w:rPr>
        <w:t>).) Section 136v of FIFRA governs the</w:t>
      </w:r>
      <w:r>
        <w:rPr>
          <w:rFonts w:ascii="Times New Roman" w:hAnsi="Times New Roman" w:cs="Times New Roman"/>
          <w:color w:val="000000"/>
          <w:sz w:val="20"/>
        </w:rPr>
        <w:t xml:space="preserve"> preemption analysis.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Subdivision (a) of the section is relevant to the preemption analysis of Johnson</w:t>
      </w:r>
      <w:r>
        <w:rPr>
          <w:rFonts w:ascii="Times New Roman" w:hAnsi="Times New Roman" w:cs="Times New Roman"/>
          <w:color w:val="000000"/>
          <w:sz w:val="20"/>
        </w:rPr>
        <w:t>’</w:t>
      </w:r>
      <w:r>
        <w:rPr>
          <w:rFonts w:ascii="Times New Roman" w:hAnsi="Times New Roman" w:cs="Times New Roman"/>
          <w:color w:val="000000"/>
          <w:sz w:val="20"/>
        </w:rPr>
        <w:t xml:space="preserve">s design defect claim, and it provides that </w:t>
      </w:r>
      <w:r>
        <w:rPr>
          <w:rFonts w:ascii="Times New Roman" w:hAnsi="Times New Roman" w:cs="Times New Roman"/>
          <w:color w:val="000000"/>
          <w:sz w:val="20"/>
        </w:rPr>
        <w:t>“</w:t>
      </w:r>
      <w:r>
        <w:rPr>
          <w:rFonts w:ascii="Times New Roman" w:hAnsi="Times New Roman" w:cs="Times New Roman"/>
          <w:color w:val="000000"/>
          <w:sz w:val="20"/>
        </w:rPr>
        <w:t>[a] State may regulate the sale or use of any federally registered pesticide or device in the State, but o</w:t>
      </w:r>
      <w:r>
        <w:rPr>
          <w:rFonts w:ascii="Times New Roman" w:hAnsi="Times New Roman" w:cs="Times New Roman"/>
          <w:color w:val="000000"/>
          <w:sz w:val="20"/>
        </w:rPr>
        <w:t>nly if and to the extent the regulation does not permit any sale or use prohibited by this Act.</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FF"/>
          <w:sz w:val="20"/>
        </w:rPr>
        <w:t>7 U.S.C. § 136v(a)</w:t>
      </w:r>
      <w:r>
        <w:rPr>
          <w:rFonts w:ascii="Times New Roman" w:hAnsi="Times New Roman" w:cs="Times New Roman"/>
          <w:color w:val="000000"/>
          <w:sz w:val="20"/>
        </w:rPr>
        <w:t>.) Thus, under this provision</w:t>
      </w:r>
      <w:r>
        <w:rPr>
          <w:rFonts w:ascii="Times New Roman" w:hAnsi="Times New Roman" w:cs="Times New Roman"/>
          <w:color w:val="000000"/>
          <w:sz w:val="20"/>
        </w:rPr>
        <w:t>’</w:t>
      </w:r>
      <w:r>
        <w:rPr>
          <w:rFonts w:ascii="Times New Roman" w:hAnsi="Times New Roman" w:cs="Times New Roman"/>
          <w:color w:val="000000"/>
          <w:sz w:val="20"/>
        </w:rPr>
        <w:t xml:space="preserve">s express language, a state may not permit a pesticide that is banned under FIFRA, but it may ban a pesticide </w:t>
      </w:r>
      <w:r>
        <w:rPr>
          <w:rFonts w:ascii="Times New Roman" w:hAnsi="Times New Roman" w:cs="Times New Roman"/>
          <w:color w:val="000000"/>
          <w:sz w:val="20"/>
        </w:rPr>
        <w:t>that is otherwise permitted under FIFRA. As we discuss further below, courts have consistently held that this language means that state-law design defect claims are not preempted. These courts have reasoned that if states are permitted to ban pesticides al</w:t>
      </w:r>
      <w:r>
        <w:rPr>
          <w:rFonts w:ascii="Times New Roman" w:hAnsi="Times New Roman" w:cs="Times New Roman"/>
          <w:color w:val="000000"/>
          <w:sz w:val="20"/>
        </w:rPr>
        <w:t>together, they must be authorized to regulate a pesticide</w:t>
      </w:r>
      <w:r>
        <w:rPr>
          <w:rFonts w:ascii="Times New Roman" w:hAnsi="Times New Roman" w:cs="Times New Roman"/>
          <w:color w:val="000000"/>
          <w:sz w:val="20"/>
        </w:rPr>
        <w:t>’</w:t>
      </w:r>
      <w:r>
        <w:rPr>
          <w:rFonts w:ascii="Times New Roman" w:hAnsi="Times New Roman" w:cs="Times New Roman"/>
          <w:color w:val="000000"/>
          <w:sz w:val="20"/>
        </w:rPr>
        <w:t>s defective design. (</w:t>
      </w:r>
      <w:r>
        <w:rPr>
          <w:rFonts w:ascii="Times New Roman" w:hAnsi="Times New Roman" w:cs="Times New Roman"/>
          <w:i/>
          <w:color w:val="0000FF"/>
          <w:sz w:val="20"/>
        </w:rPr>
        <w:t>Bates</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544 U.S. at p. 446</w:t>
      </w:r>
      <w:r>
        <w:rPr>
          <w:rFonts w:ascii="Times New Roman" w:hAnsi="Times New Roman" w:cs="Times New Roman"/>
          <w:color w:val="000000"/>
          <w:sz w:val="20"/>
        </w:rPr>
        <w:t xml:space="preserve">; see e.g., </w:t>
      </w:r>
      <w:r>
        <w:rPr>
          <w:rFonts w:ascii="Times New Roman" w:hAnsi="Times New Roman" w:cs="Times New Roman"/>
          <w:i/>
          <w:color w:val="0000FF"/>
          <w:sz w:val="20"/>
        </w:rPr>
        <w:t>In re Roundup Products Liability Litigation</w:t>
      </w:r>
      <w:r>
        <w:rPr>
          <w:rFonts w:ascii="Times New Roman" w:hAnsi="Times New Roman" w:cs="Times New Roman"/>
          <w:color w:val="0000FF"/>
          <w:sz w:val="20"/>
        </w:rPr>
        <w:t xml:space="preserve"> (N.D.Cal. 2019) 364 F.Supp.3d 1085, </w:t>
      </w:r>
      <w:r>
        <w:rPr>
          <w:rFonts w:ascii="Times New Roman" w:hAnsi="Times New Roman" w:cs="Times New Roman"/>
          <w:color w:val="0000FF"/>
          <w:sz w:val="20"/>
        </w:rPr>
        <w:t>1087</w:t>
      </w:r>
      <w:r>
        <w:rPr>
          <w:rFonts w:ascii="Times New Roman" w:hAnsi="Times New Roman" w:cs="Times New Roman"/>
          <w:color w:val="0000FF"/>
          <w:sz w:val="20"/>
        </w:rPr>
        <w:t>–</w:t>
      </w:r>
      <w:r>
        <w:rPr>
          <w:rFonts w:ascii="Times New Roman" w:hAnsi="Times New Roman" w:cs="Times New Roman"/>
          <w:color w:val="0000FF"/>
          <w:sz w:val="20"/>
        </w:rPr>
        <w:t>1088</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if California can stop Monsanto from sell</w:t>
      </w:r>
      <w:r>
        <w:rPr>
          <w:rFonts w:ascii="Times New Roman" w:hAnsi="Times New Roman" w:cs="Times New Roman"/>
          <w:color w:val="000000"/>
          <w:sz w:val="20"/>
        </w:rPr>
        <w:t>ing Roundup entirely, surely it can impose state-law duties that might require Monsanto to seek EPA approval before selling an altered version of Roundup in California</w:t>
      </w:r>
      <w:r>
        <w:rPr>
          <w:rFonts w:ascii="Times New Roman" w:hAnsi="Times New Roman" w:cs="Times New Roman"/>
          <w:color w:val="000000"/>
          <w:sz w:val="20"/>
        </w:rPr>
        <w:t>”</w:t>
      </w:r>
      <w:r>
        <w:rPr>
          <w:rFonts w:ascii="Times New Roman" w:hAnsi="Times New Roman" w:cs="Times New Roman"/>
          <w:color w:val="000000"/>
          <w:sz w:val="20"/>
        </w:rPr>
        <w:t>].) Both the federal government and the State of California (through the Department of P</w:t>
      </w:r>
      <w:r>
        <w:rPr>
          <w:rFonts w:ascii="Times New Roman" w:hAnsi="Times New Roman" w:cs="Times New Roman"/>
          <w:color w:val="000000"/>
          <w:sz w:val="20"/>
        </w:rPr>
        <w:t>esticide Regulation) regulate pesticides in the state. (</w:t>
      </w:r>
      <w:r>
        <w:rPr>
          <w:rFonts w:ascii="Times New Roman" w:hAnsi="Times New Roman" w:cs="Times New Roman"/>
          <w:i/>
          <w:color w:val="0000FF"/>
          <w:sz w:val="20"/>
        </w:rPr>
        <w:t>Caltec Ag Inc. v. Department of Pesticide Regulation</w:t>
      </w:r>
      <w:r>
        <w:rPr>
          <w:rFonts w:ascii="Times New Roman" w:hAnsi="Times New Roman" w:cs="Times New Roman"/>
          <w:color w:val="0000FF"/>
          <w:sz w:val="20"/>
        </w:rPr>
        <w:t xml:space="preserve"> (2019) 30 Cal.App.5th 872, 881</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37" w:name="co_pp_sp_999_17_1"/>
      <w:bookmarkEnd w:id="37"/>
      <w:r>
        <w:rPr>
          <w:rFonts w:ascii="Times New Roman" w:hAnsi="Times New Roman" w:cs="Times New Roman"/>
          <w:b/>
          <w:color w:val="000000"/>
          <w:sz w:val="20"/>
        </w:rPr>
        <w:t>*17</w:t>
      </w:r>
      <w:r>
        <w:rPr>
          <w:rFonts w:ascii="Times New Roman" w:hAnsi="Times New Roman" w:cs="Times New Roman"/>
          <w:color w:val="000000"/>
          <w:sz w:val="20"/>
        </w:rPr>
        <w:t xml:space="preserve"> </w:t>
      </w:r>
      <w:r>
        <w:rPr>
          <w:rFonts w:ascii="Times New Roman" w:hAnsi="Times New Roman" w:cs="Times New Roman"/>
          <w:color w:val="0000FF"/>
          <w:sz w:val="20"/>
        </w:rPr>
        <w:t>Subdivision (b) of section 136v</w:t>
      </w:r>
      <w:r>
        <w:rPr>
          <w:rFonts w:ascii="Times New Roman" w:hAnsi="Times New Roman" w:cs="Times New Roman"/>
          <w:color w:val="000000"/>
          <w:sz w:val="20"/>
        </w:rPr>
        <w:t xml:space="preserve"> (</w:t>
      </w:r>
      <w:r>
        <w:rPr>
          <w:rFonts w:ascii="Times New Roman" w:hAnsi="Times New Roman" w:cs="Times New Roman"/>
          <w:color w:val="0000FF"/>
          <w:sz w:val="20"/>
        </w:rPr>
        <w:t>section 136v(b)</w:t>
      </w:r>
      <w:r>
        <w:rPr>
          <w:rFonts w:ascii="Times New Roman" w:hAnsi="Times New Roman" w:cs="Times New Roman"/>
          <w:color w:val="000000"/>
          <w:sz w:val="20"/>
        </w:rPr>
        <w:t>) implicates a different a</w:t>
      </w:r>
      <w:r>
        <w:rPr>
          <w:rFonts w:ascii="Times New Roman" w:hAnsi="Times New Roman" w:cs="Times New Roman"/>
          <w:color w:val="000000"/>
          <w:sz w:val="20"/>
        </w:rPr>
        <w:t xml:space="preserve">nalysis for state-based failure-to-warn claims. It provides that a </w:t>
      </w:r>
      <w:r>
        <w:rPr>
          <w:rFonts w:ascii="Times New Roman" w:hAnsi="Times New Roman" w:cs="Times New Roman"/>
          <w:color w:val="000000"/>
          <w:sz w:val="20"/>
        </w:rPr>
        <w:t>“</w:t>
      </w:r>
      <w:r>
        <w:rPr>
          <w:rFonts w:ascii="Times New Roman" w:hAnsi="Times New Roman" w:cs="Times New Roman"/>
          <w:color w:val="000000"/>
          <w:sz w:val="20"/>
        </w:rPr>
        <w:t>State shall not impose or continue in effect any requirements for labeling or packaging in addition to or different from those required under this Act.</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FF"/>
          <w:sz w:val="20"/>
        </w:rPr>
        <w:t>§ 136v(b)</w:t>
      </w:r>
      <w:r>
        <w:rPr>
          <w:rFonts w:ascii="Times New Roman" w:hAnsi="Times New Roman" w:cs="Times New Roman"/>
          <w:color w:val="000000"/>
          <w:sz w:val="20"/>
        </w:rPr>
        <w:t>.) A manufacturer wanting</w:t>
      </w:r>
      <w:r>
        <w:rPr>
          <w:rFonts w:ascii="Times New Roman" w:hAnsi="Times New Roman" w:cs="Times New Roman"/>
          <w:color w:val="000000"/>
          <w:sz w:val="20"/>
        </w:rPr>
        <w:t xml:space="preserve"> to register a pesticide must submit to the EPA a proposed label and data supporting statements in the label. (</w:t>
      </w:r>
      <w:r>
        <w:rPr>
          <w:rFonts w:ascii="Times New Roman" w:hAnsi="Times New Roman" w:cs="Times New Roman"/>
          <w:color w:val="0000FF"/>
          <w:sz w:val="20"/>
        </w:rPr>
        <w:t>7 U.S.C. § 136a(c)(1)(C) &amp; (F)</w:t>
      </w:r>
      <w:r>
        <w:rPr>
          <w:rFonts w:ascii="Times New Roman" w:hAnsi="Times New Roman" w:cs="Times New Roman"/>
          <w:color w:val="000000"/>
          <w:sz w:val="20"/>
        </w:rPr>
        <w:t>.) The EPA will register the pesticide if it determines, among other things, that its label complies with FIFRA</w:t>
      </w:r>
      <w:r>
        <w:rPr>
          <w:rFonts w:ascii="Times New Roman" w:hAnsi="Times New Roman" w:cs="Times New Roman"/>
          <w:color w:val="000000"/>
          <w:sz w:val="20"/>
        </w:rPr>
        <w:t>’</w:t>
      </w:r>
      <w:r>
        <w:rPr>
          <w:rFonts w:ascii="Times New Roman" w:hAnsi="Times New Roman" w:cs="Times New Roman"/>
          <w:color w:val="000000"/>
          <w:sz w:val="20"/>
        </w:rPr>
        <w:t>s p</w:t>
      </w:r>
      <w:r>
        <w:rPr>
          <w:rFonts w:ascii="Times New Roman" w:hAnsi="Times New Roman" w:cs="Times New Roman"/>
          <w:color w:val="000000"/>
          <w:sz w:val="20"/>
        </w:rPr>
        <w:t>rohibition on misbranding. (</w:t>
      </w:r>
      <w:r>
        <w:rPr>
          <w:rFonts w:ascii="Times New Roman" w:hAnsi="Times New Roman" w:cs="Times New Roman"/>
          <w:color w:val="0000FF"/>
          <w:sz w:val="20"/>
        </w:rPr>
        <w:t>7 U.S.C. §§ 136a(c)(5)(B)</w:t>
      </w:r>
      <w:r>
        <w:rPr>
          <w:rFonts w:ascii="Times New Roman" w:hAnsi="Times New Roman" w:cs="Times New Roman"/>
          <w:color w:val="000000"/>
          <w:sz w:val="20"/>
        </w:rPr>
        <w:t xml:space="preserve">, </w:t>
      </w:r>
      <w:r>
        <w:rPr>
          <w:rFonts w:ascii="Times New Roman" w:hAnsi="Times New Roman" w:cs="Times New Roman"/>
          <w:color w:val="0000FF"/>
          <w:sz w:val="20"/>
        </w:rPr>
        <w:t>136(q)</w:t>
      </w:r>
      <w:r>
        <w:rPr>
          <w:rFonts w:ascii="Times New Roman" w:hAnsi="Times New Roman" w:cs="Times New Roman"/>
          <w:color w:val="000000"/>
          <w:sz w:val="20"/>
        </w:rPr>
        <w:t xml:space="preserve">.) A pesticide is </w:t>
      </w:r>
      <w:r>
        <w:rPr>
          <w:rFonts w:ascii="Times New Roman" w:hAnsi="Times New Roman" w:cs="Times New Roman"/>
          <w:color w:val="000000"/>
          <w:sz w:val="20"/>
        </w:rPr>
        <w:t>“</w:t>
      </w:r>
      <w:r>
        <w:rPr>
          <w:rFonts w:ascii="Times New Roman" w:hAnsi="Times New Roman" w:cs="Times New Roman"/>
          <w:color w:val="000000"/>
          <w:sz w:val="20"/>
        </w:rPr>
        <w:t>misbranded</w:t>
      </w:r>
      <w:r>
        <w:rPr>
          <w:rFonts w:ascii="Times New Roman" w:hAnsi="Times New Roman" w:cs="Times New Roman"/>
          <w:color w:val="000000"/>
          <w:sz w:val="20"/>
        </w:rPr>
        <w:t>”</w:t>
      </w:r>
      <w:r>
        <w:rPr>
          <w:rFonts w:ascii="Times New Roman" w:hAnsi="Times New Roman" w:cs="Times New Roman"/>
          <w:color w:val="000000"/>
          <w:sz w:val="20"/>
        </w:rPr>
        <w:t xml:space="preserve"> if its label contains statements that are </w:t>
      </w:r>
      <w:r>
        <w:rPr>
          <w:rFonts w:ascii="Times New Roman" w:hAnsi="Times New Roman" w:cs="Times New Roman"/>
          <w:color w:val="000000"/>
          <w:sz w:val="20"/>
        </w:rPr>
        <w:t>“</w:t>
      </w:r>
      <w:r>
        <w:rPr>
          <w:rFonts w:ascii="Times New Roman" w:hAnsi="Times New Roman" w:cs="Times New Roman"/>
          <w:color w:val="000000"/>
          <w:sz w:val="20"/>
        </w:rPr>
        <w:t>false or misleading in any particular</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FF"/>
          <w:sz w:val="20"/>
        </w:rPr>
        <w:t>7 U.S.C. § 136(q)(1)(A)</w:t>
      </w:r>
      <w:r>
        <w:rPr>
          <w:rFonts w:ascii="Times New Roman" w:hAnsi="Times New Roman" w:cs="Times New Roman"/>
          <w:color w:val="000000"/>
          <w:sz w:val="20"/>
        </w:rPr>
        <w:t>) or if it omits necessary warnings or cautionary statemen</w:t>
      </w:r>
      <w:r>
        <w:rPr>
          <w:rFonts w:ascii="Times New Roman" w:hAnsi="Times New Roman" w:cs="Times New Roman"/>
          <w:color w:val="000000"/>
          <w:sz w:val="20"/>
        </w:rPr>
        <w:t>ts (</w:t>
      </w:r>
      <w:r>
        <w:rPr>
          <w:rFonts w:ascii="Times New Roman" w:hAnsi="Times New Roman" w:cs="Times New Roman"/>
          <w:i/>
          <w:color w:val="0000FF"/>
          <w:sz w:val="20"/>
        </w:rPr>
        <w:t>id.</w:t>
      </w:r>
      <w:r>
        <w:rPr>
          <w:rFonts w:ascii="Times New Roman" w:hAnsi="Times New Roman" w:cs="Times New Roman"/>
          <w:color w:val="0000FF"/>
          <w:sz w:val="20"/>
        </w:rPr>
        <w:t>, § 136(q)(1)(F) &amp; (G)</w:t>
      </w:r>
      <w:r>
        <w:rPr>
          <w:rFonts w:ascii="Times New Roman" w:hAnsi="Times New Roman" w:cs="Times New Roman"/>
          <w:color w:val="000000"/>
          <w:sz w:val="20"/>
        </w:rPr>
        <w:t>). Manufacturers have a continuing duty to adhere to FIFRA</w:t>
      </w:r>
      <w:r>
        <w:rPr>
          <w:rFonts w:ascii="Times New Roman" w:hAnsi="Times New Roman" w:cs="Times New Roman"/>
          <w:color w:val="000000"/>
          <w:sz w:val="20"/>
        </w:rPr>
        <w:t>’</w:t>
      </w:r>
      <w:r>
        <w:rPr>
          <w:rFonts w:ascii="Times New Roman" w:hAnsi="Times New Roman" w:cs="Times New Roman"/>
          <w:color w:val="000000"/>
          <w:sz w:val="20"/>
        </w:rPr>
        <w:t>s labeling requirements (</w:t>
      </w:r>
      <w:r>
        <w:rPr>
          <w:rFonts w:ascii="Times New Roman" w:hAnsi="Times New Roman" w:cs="Times New Roman"/>
          <w:color w:val="0000FF"/>
          <w:sz w:val="20"/>
        </w:rPr>
        <w:t>7 U.S.C. § 136j(a)(1)(E)</w:t>
      </w:r>
      <w:r>
        <w:rPr>
          <w:rFonts w:ascii="Times New Roman" w:hAnsi="Times New Roman" w:cs="Times New Roman"/>
          <w:color w:val="000000"/>
          <w:sz w:val="20"/>
        </w:rPr>
        <w:t>), and they may seek approval to amend labels (</w:t>
      </w:r>
      <w:r>
        <w:rPr>
          <w:rFonts w:ascii="Times New Roman" w:hAnsi="Times New Roman" w:cs="Times New Roman"/>
          <w:color w:val="0000FF"/>
          <w:sz w:val="20"/>
        </w:rPr>
        <w:t>7 U.S.C. § 136a(f)(1)</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The jurisprudence on whether the provisions of</w:t>
      </w:r>
      <w:r>
        <w:rPr>
          <w:rFonts w:ascii="Times New Roman" w:hAnsi="Times New Roman" w:cs="Times New Roman"/>
          <w:color w:val="000000"/>
          <w:sz w:val="20"/>
        </w:rPr>
        <w:t xml:space="preserve"> </w:t>
      </w:r>
      <w:r>
        <w:rPr>
          <w:rFonts w:ascii="Times New Roman" w:hAnsi="Times New Roman" w:cs="Times New Roman"/>
          <w:color w:val="0000FF"/>
          <w:sz w:val="20"/>
        </w:rPr>
        <w:t>section 136v(b)</w:t>
      </w:r>
      <w:r>
        <w:rPr>
          <w:rFonts w:ascii="Times New Roman" w:hAnsi="Times New Roman" w:cs="Times New Roman"/>
          <w:color w:val="000000"/>
          <w:sz w:val="20"/>
        </w:rPr>
        <w:t xml:space="preserve"> preempt state law failure-to-warn claims has been uneven. As of 2000, </w:t>
      </w:r>
      <w:r>
        <w:rPr>
          <w:rFonts w:ascii="Times New Roman" w:hAnsi="Times New Roman" w:cs="Times New Roman"/>
          <w:color w:val="000000"/>
          <w:sz w:val="20"/>
        </w:rPr>
        <w:t>“</w:t>
      </w:r>
      <w:r>
        <w:rPr>
          <w:rFonts w:ascii="Times New Roman" w:hAnsi="Times New Roman" w:cs="Times New Roman"/>
          <w:color w:val="000000"/>
          <w:sz w:val="20"/>
        </w:rPr>
        <w:t>the overwhelming majority of ... courts,</w:t>
      </w:r>
      <w:r>
        <w:rPr>
          <w:rFonts w:ascii="Times New Roman" w:hAnsi="Times New Roman" w:cs="Times New Roman"/>
          <w:color w:val="000000"/>
          <w:sz w:val="20"/>
        </w:rPr>
        <w:t>”</w:t>
      </w:r>
      <w:r>
        <w:rPr>
          <w:rFonts w:ascii="Times New Roman" w:hAnsi="Times New Roman" w:cs="Times New Roman"/>
          <w:color w:val="000000"/>
          <w:sz w:val="20"/>
        </w:rPr>
        <w:t xml:space="preserve"> including our Supreme Court, held that they did. (</w:t>
      </w:r>
      <w:r>
        <w:rPr>
          <w:rFonts w:ascii="Times New Roman" w:hAnsi="Times New Roman" w:cs="Times New Roman"/>
          <w:i/>
          <w:color w:val="0000FF"/>
          <w:sz w:val="20"/>
        </w:rPr>
        <w:t>Etcheverry v. Tri-Ag Service, Inc.</w:t>
      </w:r>
      <w:r>
        <w:rPr>
          <w:rFonts w:ascii="Times New Roman" w:hAnsi="Times New Roman" w:cs="Times New Roman"/>
          <w:color w:val="0000FF"/>
          <w:sz w:val="20"/>
        </w:rPr>
        <w:t xml:space="preserve"> (2000) 22 Cal.4th 316, 320</w:t>
      </w:r>
      <w:r>
        <w:rPr>
          <w:rFonts w:ascii="Times New Roman" w:hAnsi="Times New Roman" w:cs="Times New Roman"/>
          <w:color w:val="0000FF"/>
          <w:sz w:val="20"/>
        </w:rPr>
        <w:t>–</w:t>
      </w:r>
      <w:r>
        <w:rPr>
          <w:rFonts w:ascii="Times New Roman" w:hAnsi="Times New Roman" w:cs="Times New Roman"/>
          <w:color w:val="0000FF"/>
          <w:sz w:val="20"/>
        </w:rPr>
        <w:t>321</w:t>
      </w:r>
      <w:r>
        <w:rPr>
          <w:rFonts w:ascii="Times New Roman" w:hAnsi="Times New Roman" w:cs="Times New Roman"/>
          <w:color w:val="000000"/>
          <w:sz w:val="20"/>
        </w:rPr>
        <w:t xml:space="preserve"> (</w:t>
      </w:r>
      <w:r>
        <w:rPr>
          <w:rFonts w:ascii="Times New Roman" w:hAnsi="Times New Roman" w:cs="Times New Roman"/>
          <w:i/>
          <w:color w:val="000000"/>
          <w:sz w:val="20"/>
        </w:rPr>
        <w:t>Etcheverr</w:t>
      </w:r>
      <w:r>
        <w:rPr>
          <w:rFonts w:ascii="Times New Roman" w:hAnsi="Times New Roman" w:cs="Times New Roman"/>
          <w:i/>
          <w:color w:val="000000"/>
          <w:sz w:val="20"/>
        </w:rPr>
        <w:t>y</w:t>
      </w:r>
      <w:r>
        <w:rPr>
          <w:rFonts w:ascii="Times New Roman" w:hAnsi="Times New Roman" w:cs="Times New Roman"/>
          <w:color w:val="000000"/>
          <w:sz w:val="20"/>
        </w:rPr>
        <w:t xml:space="preserve">).) These courts held that </w:t>
      </w:r>
      <w:r>
        <w:rPr>
          <w:rFonts w:ascii="Times New Roman" w:hAnsi="Times New Roman" w:cs="Times New Roman"/>
          <w:color w:val="0000FF"/>
          <w:sz w:val="20"/>
        </w:rPr>
        <w:t>section 136v(b)</w:t>
      </w:r>
      <w:r>
        <w:rPr>
          <w:rFonts w:ascii="Times New Roman" w:hAnsi="Times New Roman" w:cs="Times New Roman"/>
          <w:color w:val="000000"/>
          <w:sz w:val="20"/>
        </w:rPr>
        <w:t>’</w:t>
      </w:r>
      <w:r>
        <w:rPr>
          <w:rFonts w:ascii="Times New Roman" w:hAnsi="Times New Roman" w:cs="Times New Roman"/>
          <w:color w:val="000000"/>
          <w:sz w:val="20"/>
        </w:rPr>
        <w:t xml:space="preserve">s prohibition against any labeling </w:t>
      </w:r>
      <w:r>
        <w:rPr>
          <w:rFonts w:ascii="Times New Roman" w:hAnsi="Times New Roman" w:cs="Times New Roman"/>
          <w:color w:val="000000"/>
          <w:sz w:val="20"/>
        </w:rPr>
        <w:t>“</w:t>
      </w:r>
      <w:r>
        <w:rPr>
          <w:rFonts w:ascii="Times New Roman" w:hAnsi="Times New Roman" w:cs="Times New Roman"/>
          <w:color w:val="000000"/>
          <w:sz w:val="20"/>
        </w:rPr>
        <w:t>requirement</w:t>
      </w:r>
      <w:r>
        <w:rPr>
          <w:rFonts w:ascii="Times New Roman" w:hAnsi="Times New Roman" w:cs="Times New Roman"/>
          <w:color w:val="000000"/>
          <w:sz w:val="20"/>
        </w:rPr>
        <w:t>”</w:t>
      </w:r>
      <w:r>
        <w:rPr>
          <w:rFonts w:ascii="Times New Roman" w:hAnsi="Times New Roman" w:cs="Times New Roman"/>
          <w:color w:val="000000"/>
          <w:sz w:val="20"/>
        </w:rPr>
        <w:t xml:space="preserve"> that was </w:t>
      </w:r>
      <w:r>
        <w:rPr>
          <w:rFonts w:ascii="Times New Roman" w:hAnsi="Times New Roman" w:cs="Times New Roman"/>
          <w:color w:val="000000"/>
          <w:sz w:val="20"/>
        </w:rPr>
        <w:t>“</w:t>
      </w:r>
      <w:r>
        <w:rPr>
          <w:rFonts w:ascii="Times New Roman" w:hAnsi="Times New Roman" w:cs="Times New Roman"/>
          <w:color w:val="000000"/>
          <w:sz w:val="20"/>
        </w:rPr>
        <w:t>in addition to or different from</w:t>
      </w:r>
      <w:r>
        <w:rPr>
          <w:rFonts w:ascii="Times New Roman" w:hAnsi="Times New Roman" w:cs="Times New Roman"/>
          <w:color w:val="000000"/>
          <w:sz w:val="20"/>
        </w:rPr>
        <w:t>”</w:t>
      </w:r>
      <w:r>
        <w:rPr>
          <w:rFonts w:ascii="Times New Roman" w:hAnsi="Times New Roman" w:cs="Times New Roman"/>
          <w:color w:val="000000"/>
          <w:sz w:val="20"/>
        </w:rPr>
        <w:t xml:space="preserve"> FIFRA was couched in sweeping terms that preempted all state law claims based on a lack of adequate warning. (</w:t>
      </w:r>
      <w:r>
        <w:rPr>
          <w:rFonts w:ascii="Times New Roman" w:hAnsi="Times New Roman" w:cs="Times New Roman"/>
          <w:i/>
          <w:color w:val="0000FF"/>
          <w:sz w:val="20"/>
        </w:rPr>
        <w:t>Id.</w:t>
      </w:r>
      <w:r>
        <w:rPr>
          <w:rFonts w:ascii="Times New Roman" w:hAnsi="Times New Roman" w:cs="Times New Roman"/>
          <w:color w:val="0000FF"/>
          <w:sz w:val="20"/>
        </w:rPr>
        <w:t xml:space="preserve"> at p. 325</w:t>
      </w:r>
      <w:r>
        <w:rPr>
          <w:rFonts w:ascii="Times New Roman" w:hAnsi="Times New Roman" w:cs="Times New Roman"/>
          <w:color w:val="000000"/>
          <w:sz w:val="20"/>
        </w:rPr>
        <w:t xml:space="preserve">, citing </w:t>
      </w:r>
      <w:r>
        <w:rPr>
          <w:rFonts w:ascii="Times New Roman" w:hAnsi="Times New Roman" w:cs="Times New Roman"/>
          <w:color w:val="0000FF"/>
          <w:sz w:val="20"/>
        </w:rPr>
        <w:t>§ 136v(b)</w:t>
      </w:r>
      <w:r>
        <w:rPr>
          <w:rFonts w:ascii="Times New Roman" w:hAnsi="Times New Roman" w:cs="Times New Roman"/>
          <w:color w:val="000000"/>
          <w:sz w:val="20"/>
        </w:rPr>
        <w:t xml:space="preserve">.) After </w:t>
      </w:r>
      <w:r>
        <w:rPr>
          <w:rFonts w:ascii="Times New Roman" w:hAnsi="Times New Roman" w:cs="Times New Roman"/>
          <w:i/>
          <w:color w:val="000000"/>
          <w:sz w:val="20"/>
        </w:rPr>
        <w:t>Etcheverry</w:t>
      </w:r>
      <w:r>
        <w:rPr>
          <w:rFonts w:ascii="Times New Roman" w:hAnsi="Times New Roman" w:cs="Times New Roman"/>
          <w:color w:val="000000"/>
          <w:sz w:val="20"/>
        </w:rPr>
        <w:t>, California courts held that labeling claims were preempted, but common-law claims not implicating labeling requirements were not. (</w:t>
      </w:r>
      <w:r>
        <w:rPr>
          <w:rFonts w:ascii="Times New Roman" w:hAnsi="Times New Roman" w:cs="Times New Roman"/>
          <w:i/>
          <w:color w:val="000000"/>
          <w:sz w:val="20"/>
        </w:rPr>
        <w:t>Etcheverry</w:t>
      </w:r>
      <w:r>
        <w:rPr>
          <w:rFonts w:ascii="Times New Roman" w:hAnsi="Times New Roman" w:cs="Times New Roman"/>
          <w:color w:val="000000"/>
          <w:sz w:val="20"/>
        </w:rPr>
        <w:t xml:space="preserve">, at p. 336; </w:t>
      </w:r>
      <w:r>
        <w:rPr>
          <w:rFonts w:ascii="Times New Roman" w:hAnsi="Times New Roman" w:cs="Times New Roman"/>
          <w:i/>
          <w:color w:val="0000FF"/>
          <w:sz w:val="20"/>
        </w:rPr>
        <w:t>Arnold v. Dow Chemical Co.</w:t>
      </w:r>
      <w:r>
        <w:rPr>
          <w:rFonts w:ascii="Times New Roman" w:hAnsi="Times New Roman" w:cs="Times New Roman"/>
          <w:color w:val="0000FF"/>
          <w:sz w:val="20"/>
        </w:rPr>
        <w:t xml:space="preserve"> (2001) 91 Cal.App.4th 698,</w:t>
      </w:r>
      <w:r>
        <w:rPr>
          <w:rFonts w:ascii="Times New Roman" w:hAnsi="Times New Roman" w:cs="Times New Roman"/>
          <w:color w:val="0000FF"/>
          <w:sz w:val="20"/>
        </w:rPr>
        <w:t xml:space="preserve"> 728</w:t>
      </w:r>
      <w:r>
        <w:rPr>
          <w:rFonts w:ascii="Times New Roman" w:hAnsi="Times New Roman" w:cs="Times New Roman"/>
          <w:color w:val="0000FF"/>
          <w:sz w:val="20"/>
        </w:rPr>
        <w:t>–</w:t>
      </w:r>
      <w:r>
        <w:rPr>
          <w:rFonts w:ascii="Times New Roman" w:hAnsi="Times New Roman" w:cs="Times New Roman"/>
          <w:color w:val="0000FF"/>
          <w:sz w:val="20"/>
        </w:rPr>
        <w:t>729</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Not all courts agreed with </w:t>
      </w:r>
      <w:r>
        <w:rPr>
          <w:rFonts w:ascii="Times New Roman" w:hAnsi="Times New Roman" w:cs="Times New Roman"/>
          <w:i/>
          <w:color w:val="000000"/>
          <w:sz w:val="20"/>
        </w:rPr>
        <w:t>Etcheverry</w:t>
      </w:r>
      <w:r>
        <w:rPr>
          <w:rFonts w:ascii="Times New Roman" w:hAnsi="Times New Roman" w:cs="Times New Roman"/>
          <w:color w:val="000000"/>
          <w:sz w:val="20"/>
        </w:rPr>
        <w:t>’</w:t>
      </w:r>
      <w:r>
        <w:rPr>
          <w:rFonts w:ascii="Times New Roman" w:hAnsi="Times New Roman" w:cs="Times New Roman"/>
          <w:color w:val="000000"/>
          <w:sz w:val="20"/>
        </w:rPr>
        <w:t xml:space="preserve">s reasoning, however, and in 2005 </w:t>
      </w:r>
      <w:r>
        <w:rPr>
          <w:rFonts w:ascii="Times New Roman" w:hAnsi="Times New Roman" w:cs="Times New Roman"/>
          <w:i/>
          <w:color w:val="000000"/>
          <w:sz w:val="20"/>
        </w:rPr>
        <w:t>Bates</w:t>
      </w:r>
      <w:r>
        <w:rPr>
          <w:rFonts w:ascii="Times New Roman" w:hAnsi="Times New Roman" w:cs="Times New Roman"/>
          <w:color w:val="000000"/>
          <w:sz w:val="20"/>
        </w:rPr>
        <w:t xml:space="preserve"> resolved the conflict. (</w:t>
      </w:r>
      <w:r>
        <w:rPr>
          <w:rFonts w:ascii="Times New Roman" w:hAnsi="Times New Roman" w:cs="Times New Roman"/>
          <w:i/>
          <w:color w:val="0000FF"/>
          <w:sz w:val="20"/>
        </w:rPr>
        <w:t>Bates</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544 U.S. at p. 437</w:t>
      </w:r>
      <w:r>
        <w:rPr>
          <w:rFonts w:ascii="Times New Roman" w:hAnsi="Times New Roman" w:cs="Times New Roman"/>
          <w:color w:val="000000"/>
          <w:sz w:val="20"/>
        </w:rPr>
        <w:t xml:space="preserve">.) In </w:t>
      </w:r>
      <w:r>
        <w:rPr>
          <w:rFonts w:ascii="Times New Roman" w:hAnsi="Times New Roman" w:cs="Times New Roman"/>
          <w:i/>
          <w:color w:val="000000"/>
          <w:sz w:val="20"/>
        </w:rPr>
        <w:t>Bates</w:t>
      </w:r>
      <w:r>
        <w:rPr>
          <w:rFonts w:ascii="Times New Roman" w:hAnsi="Times New Roman" w:cs="Times New Roman"/>
          <w:color w:val="000000"/>
          <w:sz w:val="20"/>
        </w:rPr>
        <w:t>, the EPA granted a manufacturer permission to sell a new pesticide whose label said that it was r</w:t>
      </w:r>
      <w:r>
        <w:rPr>
          <w:rFonts w:ascii="Times New Roman" w:hAnsi="Times New Roman" w:cs="Times New Roman"/>
          <w:color w:val="000000"/>
          <w:sz w:val="20"/>
        </w:rPr>
        <w:t>ecommended in all areas where peanuts are grown. (</w:t>
      </w:r>
      <w:r>
        <w:rPr>
          <w:rFonts w:ascii="Times New Roman" w:hAnsi="Times New Roman" w:cs="Times New Roman"/>
          <w:i/>
          <w:color w:val="0000FF"/>
          <w:sz w:val="20"/>
        </w:rPr>
        <w:t>Id.</w:t>
      </w:r>
      <w:r>
        <w:rPr>
          <w:rFonts w:ascii="Times New Roman" w:hAnsi="Times New Roman" w:cs="Times New Roman"/>
          <w:color w:val="0000FF"/>
          <w:sz w:val="20"/>
        </w:rPr>
        <w:t xml:space="preserve"> at pp. 434</w:t>
      </w:r>
      <w:r>
        <w:rPr>
          <w:rFonts w:ascii="Times New Roman" w:hAnsi="Times New Roman" w:cs="Times New Roman"/>
          <w:color w:val="0000FF"/>
          <w:sz w:val="20"/>
        </w:rPr>
        <w:t>–</w:t>
      </w:r>
      <w:r>
        <w:rPr>
          <w:rFonts w:ascii="Times New Roman" w:hAnsi="Times New Roman" w:cs="Times New Roman"/>
          <w:color w:val="0000FF"/>
          <w:sz w:val="20"/>
        </w:rPr>
        <w:t>435</w:t>
      </w:r>
      <w:r>
        <w:rPr>
          <w:rFonts w:ascii="Times New Roman" w:hAnsi="Times New Roman" w:cs="Times New Roman"/>
          <w:color w:val="000000"/>
          <w:sz w:val="20"/>
        </w:rPr>
        <w:t>.) A group of Texas peanut farmers sued the manufacturer under state consumer-protection law alleging that applying the pesticide severely damaged their crops. (</w:t>
      </w:r>
      <w:r>
        <w:rPr>
          <w:rFonts w:ascii="Times New Roman" w:hAnsi="Times New Roman" w:cs="Times New Roman"/>
          <w:i/>
          <w:color w:val="000000"/>
          <w:sz w:val="20"/>
        </w:rPr>
        <w:t>Ibid.</w:t>
      </w:r>
      <w:r>
        <w:rPr>
          <w:rFonts w:ascii="Times New Roman" w:hAnsi="Times New Roman" w:cs="Times New Roman"/>
          <w:color w:val="000000"/>
          <w:sz w:val="20"/>
        </w:rPr>
        <w:t xml:space="preserve">) </w:t>
      </w:r>
      <w:r>
        <w:rPr>
          <w:rFonts w:ascii="Times New Roman" w:hAnsi="Times New Roman" w:cs="Times New Roman"/>
          <w:color w:val="000000"/>
          <w:sz w:val="20"/>
        </w:rPr>
        <w:lastRenderedPageBreak/>
        <w:t>Meanwhile, the manuf</w:t>
      </w:r>
      <w:r>
        <w:rPr>
          <w:rFonts w:ascii="Times New Roman" w:hAnsi="Times New Roman" w:cs="Times New Roman"/>
          <w:color w:val="000000"/>
          <w:sz w:val="20"/>
        </w:rPr>
        <w:t>acturer applied for, and the EPA approved, a supplemental label only for Texas and two other states where peanut farmers experienced crop damage that warned not to apply the pesticide to soils with a pH of 7.2 or greater. (</w:t>
      </w:r>
      <w:r>
        <w:rPr>
          <w:rFonts w:ascii="Times New Roman" w:hAnsi="Times New Roman" w:cs="Times New Roman"/>
          <w:i/>
          <w:color w:val="0000FF"/>
          <w:sz w:val="20"/>
        </w:rPr>
        <w:t>Id.</w:t>
      </w:r>
      <w:r>
        <w:rPr>
          <w:rFonts w:ascii="Times New Roman" w:hAnsi="Times New Roman" w:cs="Times New Roman"/>
          <w:color w:val="0000FF"/>
          <w:sz w:val="20"/>
        </w:rPr>
        <w:t xml:space="preserve"> at p. 435</w:t>
      </w:r>
      <w:r>
        <w:rPr>
          <w:rFonts w:ascii="Times New Roman" w:hAnsi="Times New Roman" w:cs="Times New Roman"/>
          <w:color w:val="000000"/>
          <w:sz w:val="20"/>
        </w:rPr>
        <w:t>.) The district cour</w:t>
      </w:r>
      <w:r>
        <w:rPr>
          <w:rFonts w:ascii="Times New Roman" w:hAnsi="Times New Roman" w:cs="Times New Roman"/>
          <w:color w:val="000000"/>
          <w:sz w:val="20"/>
        </w:rPr>
        <w:t>t dismissed the farmers</w:t>
      </w:r>
      <w:r>
        <w:rPr>
          <w:rFonts w:ascii="Times New Roman" w:hAnsi="Times New Roman" w:cs="Times New Roman"/>
          <w:color w:val="000000"/>
          <w:sz w:val="20"/>
        </w:rPr>
        <w:t>’</w:t>
      </w:r>
      <w:r>
        <w:rPr>
          <w:rFonts w:ascii="Times New Roman" w:hAnsi="Times New Roman" w:cs="Times New Roman"/>
          <w:color w:val="000000"/>
          <w:sz w:val="20"/>
        </w:rPr>
        <w:t xml:space="preserve"> lawsuit after it concluded that their claims were expressly preempted by FIFRA</w:t>
      </w:r>
      <w:r>
        <w:rPr>
          <w:rFonts w:ascii="Times New Roman" w:hAnsi="Times New Roman" w:cs="Times New Roman"/>
          <w:color w:val="000000"/>
          <w:sz w:val="20"/>
        </w:rPr>
        <w:t>’</w:t>
      </w:r>
      <w:r>
        <w:rPr>
          <w:rFonts w:ascii="Times New Roman" w:hAnsi="Times New Roman" w:cs="Times New Roman"/>
          <w:color w:val="000000"/>
          <w:sz w:val="20"/>
        </w:rPr>
        <w:t>s prohibition against states imposing requirements for labeling or packaging in addition to or different from those required under the statute. (</w:t>
      </w:r>
      <w:r>
        <w:rPr>
          <w:rFonts w:ascii="Times New Roman" w:hAnsi="Times New Roman" w:cs="Times New Roman"/>
          <w:i/>
          <w:color w:val="000000"/>
          <w:sz w:val="20"/>
        </w:rPr>
        <w:t>Bates</w:t>
      </w:r>
      <w:r>
        <w:rPr>
          <w:rFonts w:ascii="Times New Roman" w:hAnsi="Times New Roman" w:cs="Times New Roman"/>
          <w:color w:val="000000"/>
          <w:sz w:val="20"/>
        </w:rPr>
        <w:t xml:space="preserve">, </w:t>
      </w:r>
      <w:r>
        <w:rPr>
          <w:rFonts w:ascii="Times New Roman" w:hAnsi="Times New Roman" w:cs="Times New Roman"/>
          <w:color w:val="000000"/>
          <w:sz w:val="20"/>
        </w:rPr>
        <w:t xml:space="preserve">at p. 436, citing </w:t>
      </w:r>
      <w:r>
        <w:rPr>
          <w:rFonts w:ascii="Times New Roman" w:hAnsi="Times New Roman" w:cs="Times New Roman"/>
          <w:color w:val="0000FF"/>
          <w:sz w:val="20"/>
        </w:rPr>
        <w:t>§ 136v(b)</w:t>
      </w:r>
      <w:r>
        <w:rPr>
          <w:rFonts w:ascii="Times New Roman" w:hAnsi="Times New Roman" w:cs="Times New Roman"/>
          <w:color w:val="000000"/>
          <w:sz w:val="20"/>
        </w:rPr>
        <w:t>.) The court of appeals affirmed the dismissal, concluding that FIFRA preempts any state-law claim where a judgment would induce a defendant to alter its product</w:t>
      </w:r>
      <w:r>
        <w:rPr>
          <w:rFonts w:ascii="Times New Roman" w:hAnsi="Times New Roman" w:cs="Times New Roman"/>
          <w:color w:val="000000"/>
          <w:sz w:val="20"/>
        </w:rPr>
        <w:t>’</w:t>
      </w:r>
      <w:r>
        <w:rPr>
          <w:rFonts w:ascii="Times New Roman" w:hAnsi="Times New Roman" w:cs="Times New Roman"/>
          <w:color w:val="000000"/>
          <w:sz w:val="20"/>
        </w:rPr>
        <w:t>s label. (</w:t>
      </w:r>
      <w:r>
        <w:rPr>
          <w:rFonts w:ascii="Times New Roman" w:hAnsi="Times New Roman" w:cs="Times New Roman"/>
          <w:i/>
          <w:color w:val="000000"/>
          <w:sz w:val="20"/>
        </w:rPr>
        <w:t>Bates</w:t>
      </w:r>
      <w:r>
        <w:rPr>
          <w:rFonts w:ascii="Times New Roman" w:hAnsi="Times New Roman" w:cs="Times New Roman"/>
          <w:color w:val="000000"/>
          <w:sz w:val="20"/>
        </w:rPr>
        <w:t>, at p. 436.)</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The Supreme Court reversed. It noted</w:t>
      </w:r>
      <w:r>
        <w:rPr>
          <w:rFonts w:ascii="Times New Roman" w:hAnsi="Times New Roman" w:cs="Times New Roman"/>
          <w:color w:val="000000"/>
          <w:sz w:val="20"/>
        </w:rPr>
        <w:t xml:space="preserve"> that states </w:t>
      </w:r>
      <w:r>
        <w:rPr>
          <w:rFonts w:ascii="Times New Roman" w:hAnsi="Times New Roman" w:cs="Times New Roman"/>
          <w:color w:val="000000"/>
          <w:sz w:val="20"/>
        </w:rPr>
        <w:t>“</w:t>
      </w:r>
      <w:r>
        <w:rPr>
          <w:rFonts w:ascii="Times New Roman" w:hAnsi="Times New Roman" w:cs="Times New Roman"/>
          <w:color w:val="000000"/>
          <w:sz w:val="20"/>
        </w:rPr>
        <w:t>have ample authority to review pesticide labels to ensure that they comply with both federal and state labeling requirements. Nothing in the text of FIFRA would prevent a State from making the violation of a federal labeling or packaging requ</w:t>
      </w:r>
      <w:r>
        <w:rPr>
          <w:rFonts w:ascii="Times New Roman" w:hAnsi="Times New Roman" w:cs="Times New Roman"/>
          <w:color w:val="000000"/>
          <w:sz w:val="20"/>
        </w:rPr>
        <w:t xml:space="preserve">irement a state offense, thereby imposing its own sanctions on pesticide manufacturers who violate federal law. The imposition of state sanctions for violating state rules that merely duplicate federal requirements is equally consistent with the text of </w:t>
      </w:r>
      <w:r>
        <w:rPr>
          <w:rFonts w:ascii="Times New Roman" w:hAnsi="Times New Roman" w:cs="Times New Roman"/>
          <w:color w:val="0000FF"/>
          <w:sz w:val="20"/>
        </w:rPr>
        <w:t xml:space="preserve">§ </w:t>
      </w:r>
      <w:r>
        <w:rPr>
          <w:rFonts w:ascii="Times New Roman" w:hAnsi="Times New Roman" w:cs="Times New Roman"/>
          <w:color w:val="0000FF"/>
          <w:sz w:val="20"/>
        </w:rPr>
        <w:t>136v</w:t>
      </w:r>
      <w:r>
        <w:rPr>
          <w:rFonts w:ascii="Times New Roman" w:hAnsi="Times New Roman" w:cs="Times New Roman"/>
          <w:color w:val="000000"/>
          <w:sz w:val="20"/>
        </w:rPr>
        <w:t>.</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Bates</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544 U.S. at p. 442</w:t>
      </w:r>
      <w:r>
        <w:rPr>
          <w:rFonts w:ascii="Times New Roman" w:hAnsi="Times New Roman" w:cs="Times New Roman"/>
          <w:color w:val="000000"/>
          <w:sz w:val="20"/>
        </w:rPr>
        <w:t xml:space="preserve">.) Although FIFRA bars states from imposing </w:t>
      </w:r>
      <w:r>
        <w:rPr>
          <w:rFonts w:ascii="Times New Roman" w:hAnsi="Times New Roman" w:cs="Times New Roman"/>
          <w:color w:val="000000"/>
          <w:sz w:val="20"/>
        </w:rPr>
        <w:t>“</w:t>
      </w:r>
      <w:r>
        <w:rPr>
          <w:rFonts w:ascii="Times New Roman" w:hAnsi="Times New Roman" w:cs="Times New Roman"/>
          <w:color w:val="000000"/>
          <w:sz w:val="20"/>
        </w:rPr>
        <w:t>requirements for labeling or packaging in addition to or different from those required under this Act</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FF"/>
          <w:sz w:val="20"/>
        </w:rPr>
        <w:t>§ 136v(b)</w:t>
      </w:r>
      <w:r>
        <w:rPr>
          <w:rFonts w:ascii="Times New Roman" w:hAnsi="Times New Roman" w:cs="Times New Roman"/>
          <w:color w:val="000000"/>
          <w:sz w:val="20"/>
        </w:rPr>
        <w:t>), the court rejected the premise that an occurrence (such</w:t>
      </w:r>
      <w:r>
        <w:rPr>
          <w:rFonts w:ascii="Times New Roman" w:hAnsi="Times New Roman" w:cs="Times New Roman"/>
          <w:color w:val="000000"/>
          <w:sz w:val="20"/>
        </w:rPr>
        <w:t xml:space="preserve"> as an adverse jury verdict) that </w:t>
      </w:r>
      <w:r>
        <w:rPr>
          <w:rFonts w:ascii="Times New Roman" w:hAnsi="Times New Roman" w:cs="Times New Roman"/>
          <w:color w:val="000000"/>
          <w:sz w:val="20"/>
        </w:rPr>
        <w:t>“</w:t>
      </w:r>
      <w:r>
        <w:rPr>
          <w:rFonts w:ascii="Times New Roman" w:hAnsi="Times New Roman" w:cs="Times New Roman"/>
          <w:color w:val="000000"/>
          <w:sz w:val="20"/>
        </w:rPr>
        <w:t>merely motivates an optional decision</w:t>
      </w:r>
      <w:r>
        <w:rPr>
          <w:rFonts w:ascii="Times New Roman" w:hAnsi="Times New Roman" w:cs="Times New Roman"/>
          <w:color w:val="000000"/>
          <w:sz w:val="20"/>
        </w:rPr>
        <w:t>”</w:t>
      </w:r>
      <w:r>
        <w:rPr>
          <w:rFonts w:ascii="Times New Roman" w:hAnsi="Times New Roman" w:cs="Times New Roman"/>
          <w:color w:val="000000"/>
          <w:sz w:val="20"/>
        </w:rPr>
        <w:t xml:space="preserve"> to change a pesticide label was not a </w:t>
      </w:r>
      <w:r>
        <w:rPr>
          <w:rFonts w:ascii="Times New Roman" w:hAnsi="Times New Roman" w:cs="Times New Roman"/>
          <w:color w:val="000000"/>
          <w:sz w:val="20"/>
        </w:rPr>
        <w:t>“</w:t>
      </w:r>
      <w:r>
        <w:rPr>
          <w:rFonts w:ascii="Times New Roman" w:hAnsi="Times New Roman" w:cs="Times New Roman"/>
          <w:color w:val="000000"/>
          <w:sz w:val="20"/>
        </w:rPr>
        <w:t>requirement</w:t>
      </w:r>
      <w:r>
        <w:rPr>
          <w:rFonts w:ascii="Times New Roman" w:hAnsi="Times New Roman" w:cs="Times New Roman"/>
          <w:color w:val="000000"/>
          <w:sz w:val="20"/>
        </w:rPr>
        <w:t>”</w:t>
      </w:r>
      <w:r>
        <w:rPr>
          <w:rFonts w:ascii="Times New Roman" w:hAnsi="Times New Roman" w:cs="Times New Roman"/>
          <w:color w:val="000000"/>
          <w:sz w:val="20"/>
        </w:rPr>
        <w:t xml:space="preserve"> under the law. (</w:t>
      </w:r>
      <w:r>
        <w:rPr>
          <w:rFonts w:ascii="Times New Roman" w:hAnsi="Times New Roman" w:cs="Times New Roman"/>
          <w:i/>
          <w:color w:val="000000"/>
          <w:sz w:val="20"/>
        </w:rPr>
        <w:t>Bates</w:t>
      </w:r>
      <w:r>
        <w:rPr>
          <w:rFonts w:ascii="Times New Roman" w:hAnsi="Times New Roman" w:cs="Times New Roman"/>
          <w:color w:val="000000"/>
          <w:sz w:val="20"/>
        </w:rPr>
        <w:t xml:space="preserve">, at p. 445.) The court held that </w:t>
      </w:r>
      <w:r>
        <w:rPr>
          <w:rFonts w:ascii="Times New Roman" w:hAnsi="Times New Roman" w:cs="Times New Roman"/>
          <w:color w:val="000000"/>
          <w:sz w:val="20"/>
        </w:rPr>
        <w:t>“</w:t>
      </w:r>
      <w:r>
        <w:rPr>
          <w:rFonts w:ascii="Times New Roman" w:hAnsi="Times New Roman" w:cs="Times New Roman"/>
          <w:color w:val="000000"/>
          <w:sz w:val="20"/>
        </w:rPr>
        <w:t>[f]or a particular state rule to be pre-empted, it must satisfy two condit</w:t>
      </w:r>
      <w:r>
        <w:rPr>
          <w:rFonts w:ascii="Times New Roman" w:hAnsi="Times New Roman" w:cs="Times New Roman"/>
          <w:color w:val="000000"/>
          <w:sz w:val="20"/>
        </w:rPr>
        <w:t xml:space="preserve">ions. First, it must be a requirement </w:t>
      </w:r>
      <w:r>
        <w:rPr>
          <w:rFonts w:ascii="Times New Roman" w:hAnsi="Times New Roman" w:cs="Times New Roman"/>
          <w:color w:val="000000"/>
          <w:sz w:val="20"/>
        </w:rPr>
        <w:t>‘</w:t>
      </w:r>
      <w:r>
        <w:rPr>
          <w:rFonts w:ascii="Times New Roman" w:hAnsi="Times New Roman" w:cs="Times New Roman"/>
          <w:i/>
          <w:color w:val="000000"/>
          <w:sz w:val="20"/>
        </w:rPr>
        <w:t>for labeling or packaging</w:t>
      </w:r>
      <w:r>
        <w:rPr>
          <w:rFonts w:ascii="Times New Roman" w:hAnsi="Times New Roman" w:cs="Times New Roman"/>
          <w:color w:val="000000"/>
          <w:sz w:val="20"/>
        </w:rPr>
        <w:t>’</w:t>
      </w:r>
      <w:r>
        <w:rPr>
          <w:rFonts w:ascii="Times New Roman" w:hAnsi="Times New Roman" w:cs="Times New Roman"/>
          <w:color w:val="000000"/>
          <w:sz w:val="20"/>
        </w:rPr>
        <w:t xml:space="preserve">; rules governing the design of a product, for example, are not pre-empted. Second, it must impose a labeling or packaging requirement that is </w:t>
      </w:r>
      <w:r>
        <w:rPr>
          <w:rFonts w:ascii="Times New Roman" w:hAnsi="Times New Roman" w:cs="Times New Roman"/>
          <w:color w:val="000000"/>
          <w:sz w:val="20"/>
        </w:rPr>
        <w:t>‘</w:t>
      </w:r>
      <w:r>
        <w:rPr>
          <w:rFonts w:ascii="Times New Roman" w:hAnsi="Times New Roman" w:cs="Times New Roman"/>
          <w:i/>
          <w:color w:val="000000"/>
          <w:sz w:val="20"/>
        </w:rPr>
        <w:t>in addition to or different from</w:t>
      </w:r>
      <w:r>
        <w:rPr>
          <w:rFonts w:ascii="Times New Roman" w:hAnsi="Times New Roman" w:cs="Times New Roman"/>
          <w:color w:val="000000"/>
          <w:sz w:val="20"/>
        </w:rPr>
        <w:t xml:space="preserve"> those required</w:t>
      </w:r>
      <w:r>
        <w:rPr>
          <w:rFonts w:ascii="Times New Roman" w:hAnsi="Times New Roman" w:cs="Times New Roman"/>
          <w:color w:val="000000"/>
          <w:sz w:val="20"/>
        </w:rPr>
        <w:t xml:space="preserve"> under [</w:t>
      </w:r>
      <w:r>
        <w:rPr>
          <w:rFonts w:ascii="Times New Roman" w:hAnsi="Times New Roman" w:cs="Times New Roman"/>
          <w:color w:val="0000FF"/>
          <w:sz w:val="20"/>
        </w:rPr>
        <w:t>section 136v(b)</w:t>
      </w:r>
      <w:r>
        <w:rPr>
          <w:rFonts w:ascii="Times New Roman" w:hAnsi="Times New Roman" w:cs="Times New Roman"/>
          <w:color w:val="000000"/>
          <w:sz w:val="20"/>
        </w:rPr>
        <w:t>].</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Id.</w:t>
      </w:r>
      <w:r>
        <w:rPr>
          <w:rFonts w:ascii="Times New Roman" w:hAnsi="Times New Roman" w:cs="Times New Roman"/>
          <w:color w:val="0000FF"/>
          <w:sz w:val="20"/>
        </w:rPr>
        <w:t xml:space="preserve"> at p. 444</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38" w:name="co_pp_sp_999_18_1"/>
      <w:bookmarkEnd w:id="38"/>
      <w:r>
        <w:rPr>
          <w:rFonts w:ascii="Times New Roman" w:hAnsi="Times New Roman" w:cs="Times New Roman"/>
          <w:b/>
          <w:color w:val="000000"/>
          <w:sz w:val="20"/>
        </w:rPr>
        <w:t>*18</w:t>
      </w:r>
      <w:r>
        <w:rPr>
          <w:rFonts w:ascii="Times New Roman" w:hAnsi="Times New Roman" w:cs="Times New Roman"/>
          <w:color w:val="000000"/>
          <w:sz w:val="20"/>
        </w:rPr>
        <w:t xml:space="preserve"> </w:t>
      </w:r>
      <w:r>
        <w:rPr>
          <w:rFonts w:ascii="Times New Roman" w:hAnsi="Times New Roman" w:cs="Times New Roman"/>
          <w:i/>
          <w:color w:val="000000"/>
          <w:sz w:val="20"/>
        </w:rPr>
        <w:t>Bates</w:t>
      </w:r>
      <w:r>
        <w:rPr>
          <w:rFonts w:ascii="Times New Roman" w:hAnsi="Times New Roman" w:cs="Times New Roman"/>
          <w:color w:val="000000"/>
          <w:sz w:val="20"/>
        </w:rPr>
        <w:t xml:space="preserve"> acknowledged that a failure-to-warn claim is premised on state common-law rules that qualify as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requirements for labeling or packaging</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 under </w:t>
      </w:r>
      <w:r>
        <w:rPr>
          <w:rFonts w:ascii="Times New Roman" w:hAnsi="Times New Roman" w:cs="Times New Roman"/>
          <w:color w:val="0000FF"/>
          <w:sz w:val="20"/>
        </w:rPr>
        <w:t>section 136v(b)</w:t>
      </w:r>
      <w:r>
        <w:rPr>
          <w:rFonts w:ascii="Times New Roman" w:hAnsi="Times New Roman" w:cs="Times New Roman"/>
          <w:color w:val="000000"/>
          <w:sz w:val="20"/>
        </w:rPr>
        <w:t xml:space="preserve"> b</w:t>
      </w:r>
      <w:r>
        <w:rPr>
          <w:rFonts w:ascii="Times New Roman" w:hAnsi="Times New Roman" w:cs="Times New Roman"/>
          <w:color w:val="000000"/>
          <w:sz w:val="20"/>
        </w:rPr>
        <w:t>ecause it alleges an inadequate warning. (</w:t>
      </w:r>
      <w:r>
        <w:rPr>
          <w:rFonts w:ascii="Times New Roman" w:hAnsi="Times New Roman" w:cs="Times New Roman"/>
          <w:i/>
          <w:color w:val="0000FF"/>
          <w:sz w:val="20"/>
        </w:rPr>
        <w:t>Bates</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544 U.S. at p. 446</w:t>
      </w:r>
      <w:r>
        <w:rPr>
          <w:rFonts w:ascii="Times New Roman" w:hAnsi="Times New Roman" w:cs="Times New Roman"/>
          <w:color w:val="000000"/>
          <w:sz w:val="20"/>
        </w:rPr>
        <w:t xml:space="preserve">.) But it does not automatically follow that FIFRA preempts such claims since </w:t>
      </w:r>
      <w:r>
        <w:rPr>
          <w:rFonts w:ascii="Times New Roman" w:hAnsi="Times New Roman" w:cs="Times New Roman"/>
          <w:color w:val="0000FF"/>
          <w:sz w:val="20"/>
        </w:rPr>
        <w:t>section 136v(b)</w:t>
      </w:r>
      <w:r>
        <w:rPr>
          <w:rFonts w:ascii="Times New Roman" w:hAnsi="Times New Roman" w:cs="Times New Roman"/>
          <w:color w:val="000000"/>
          <w:sz w:val="20"/>
        </w:rPr>
        <w:t xml:space="preserve"> prohibits only state-law labeling and packaging requirements that are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i/>
          <w:color w:val="000000"/>
          <w:sz w:val="20"/>
        </w:rPr>
        <w:t>in addition to or different from</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 FIFRA</w:t>
      </w:r>
      <w:r>
        <w:rPr>
          <w:rFonts w:ascii="Times New Roman" w:hAnsi="Times New Roman" w:cs="Times New Roman"/>
          <w:color w:val="000000"/>
          <w:sz w:val="20"/>
        </w:rPr>
        <w:t>’</w:t>
      </w:r>
      <w:r>
        <w:rPr>
          <w:rFonts w:ascii="Times New Roman" w:hAnsi="Times New Roman" w:cs="Times New Roman"/>
          <w:color w:val="000000"/>
          <w:sz w:val="20"/>
        </w:rPr>
        <w:t>s packaging and labeling requirements. (</w:t>
      </w:r>
      <w:r>
        <w:rPr>
          <w:rFonts w:ascii="Times New Roman" w:hAnsi="Times New Roman" w:cs="Times New Roman"/>
          <w:i/>
          <w:color w:val="000000"/>
          <w:sz w:val="20"/>
        </w:rPr>
        <w:t>Bates</w:t>
      </w:r>
      <w:r>
        <w:rPr>
          <w:rFonts w:ascii="Times New Roman" w:hAnsi="Times New Roman" w:cs="Times New Roman"/>
          <w:color w:val="000000"/>
          <w:sz w:val="20"/>
        </w:rPr>
        <w:t xml:space="preserve">, at p. 447.) </w:t>
      </w:r>
      <w:r>
        <w:rPr>
          <w:rFonts w:ascii="Times New Roman" w:hAnsi="Times New Roman" w:cs="Times New Roman"/>
          <w:color w:val="000000"/>
          <w:sz w:val="20"/>
        </w:rPr>
        <w:t>“</w:t>
      </w:r>
      <w:r>
        <w:rPr>
          <w:rFonts w:ascii="Times New Roman" w:hAnsi="Times New Roman" w:cs="Times New Roman"/>
          <w:color w:val="000000"/>
          <w:sz w:val="20"/>
        </w:rPr>
        <w:t xml:space="preserve">Thus, a state-law labeling requirement is not pre-empted by </w:t>
      </w:r>
      <w:r>
        <w:rPr>
          <w:rFonts w:ascii="Times New Roman" w:hAnsi="Times New Roman" w:cs="Times New Roman"/>
          <w:color w:val="0000FF"/>
          <w:sz w:val="20"/>
        </w:rPr>
        <w:t>§ 136v(b)</w:t>
      </w:r>
      <w:r>
        <w:rPr>
          <w:rFonts w:ascii="Times New Roman" w:hAnsi="Times New Roman" w:cs="Times New Roman"/>
          <w:color w:val="000000"/>
          <w:sz w:val="20"/>
        </w:rPr>
        <w:t xml:space="preserve"> if it is equivalent to, and fully consistent with, FIFRA</w:t>
      </w:r>
      <w:r>
        <w:rPr>
          <w:rFonts w:ascii="Times New Roman" w:hAnsi="Times New Roman" w:cs="Times New Roman"/>
          <w:color w:val="000000"/>
          <w:sz w:val="20"/>
        </w:rPr>
        <w:t>’</w:t>
      </w:r>
      <w:r>
        <w:rPr>
          <w:rFonts w:ascii="Times New Roman" w:hAnsi="Times New Roman" w:cs="Times New Roman"/>
          <w:color w:val="000000"/>
          <w:sz w:val="20"/>
        </w:rPr>
        <w:t>s misbranding provisions.</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i/>
          <w:color w:val="000000"/>
          <w:sz w:val="20"/>
        </w:rPr>
        <w:t>Ibid.</w:t>
      </w:r>
      <w:r>
        <w:rPr>
          <w:rFonts w:ascii="Times New Roman" w:hAnsi="Times New Roman" w:cs="Times New Roman"/>
          <w:color w:val="000000"/>
          <w:sz w:val="20"/>
        </w:rPr>
        <w:t>) Under the U.S. Supreme Court</w:t>
      </w:r>
      <w:r>
        <w:rPr>
          <w:rFonts w:ascii="Times New Roman" w:hAnsi="Times New Roman" w:cs="Times New Roman"/>
          <w:color w:val="000000"/>
          <w:sz w:val="20"/>
        </w:rPr>
        <w:t>’</w:t>
      </w:r>
      <w:r>
        <w:rPr>
          <w:rFonts w:ascii="Times New Roman" w:hAnsi="Times New Roman" w:cs="Times New Roman"/>
          <w:color w:val="000000"/>
          <w:sz w:val="20"/>
        </w:rPr>
        <w:t xml:space="preserve">s interpretation, </w:t>
      </w:r>
      <w:r>
        <w:rPr>
          <w:rFonts w:ascii="Times New Roman" w:hAnsi="Times New Roman" w:cs="Times New Roman"/>
          <w:color w:val="0000FF"/>
          <w:sz w:val="20"/>
        </w:rPr>
        <w:t>section 136v(b)</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retains a narrow, but still important, role. In the </w:t>
      </w:r>
      <w:r>
        <w:rPr>
          <w:rFonts w:ascii="Times New Roman" w:hAnsi="Times New Roman" w:cs="Times New Roman"/>
          <w:color w:val="000000"/>
          <w:sz w:val="20"/>
        </w:rPr>
        <w:t>main, it pre-empts competing state labeling standards</w:t>
      </w:r>
      <w:r>
        <w:rPr>
          <w:rFonts w:ascii="Times New Roman" w:hAnsi="Times New Roman" w:cs="Times New Roman"/>
          <w:color w:val="000000"/>
          <w:sz w:val="20"/>
        </w:rPr>
        <w:t>—</w:t>
      </w:r>
      <w:r>
        <w:rPr>
          <w:rFonts w:ascii="Times New Roman" w:hAnsi="Times New Roman" w:cs="Times New Roman"/>
          <w:color w:val="000000"/>
          <w:sz w:val="20"/>
        </w:rPr>
        <w:t>imagine 50 different labeling regimes prescribing the color, font size, and wo</w:t>
      </w:r>
      <w:r>
        <w:rPr>
          <w:rFonts w:ascii="Times New Roman" w:hAnsi="Times New Roman" w:cs="Times New Roman"/>
          <w:color w:val="000000"/>
          <w:sz w:val="20"/>
        </w:rPr>
        <w:t>rding of warnings</w:t>
      </w:r>
      <w:r>
        <w:rPr>
          <w:rFonts w:ascii="Times New Roman" w:hAnsi="Times New Roman" w:cs="Times New Roman"/>
          <w:color w:val="000000"/>
          <w:sz w:val="20"/>
        </w:rPr>
        <w:t>—</w:t>
      </w:r>
      <w:r>
        <w:rPr>
          <w:rFonts w:ascii="Times New Roman" w:hAnsi="Times New Roman" w:cs="Times New Roman"/>
          <w:color w:val="000000"/>
          <w:sz w:val="20"/>
        </w:rPr>
        <w:t>that would create significant inefficiencies for manufacturers. The provision also pre-empts any statutory or common-law rule that would impose a labeling requirement that diverges from those set out in FIFRA and its implementing regulati</w:t>
      </w:r>
      <w:r>
        <w:rPr>
          <w:rFonts w:ascii="Times New Roman" w:hAnsi="Times New Roman" w:cs="Times New Roman"/>
          <w:color w:val="000000"/>
          <w:sz w:val="20"/>
        </w:rPr>
        <w:t>ons. It does not, however, pre-empt any state rules that are fully consistent with federal requirements.</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00"/>
          <w:sz w:val="20"/>
        </w:rPr>
        <w:t>Bates</w:t>
      </w:r>
      <w:r>
        <w:rPr>
          <w:rFonts w:ascii="Times New Roman" w:hAnsi="Times New Roman" w:cs="Times New Roman"/>
          <w:color w:val="000000"/>
          <w:sz w:val="20"/>
        </w:rPr>
        <w:t xml:space="preserve">, at p. 452.) The court cautioned, however, that </w:t>
      </w:r>
      <w:r>
        <w:rPr>
          <w:rFonts w:ascii="Times New Roman" w:hAnsi="Times New Roman" w:cs="Times New Roman"/>
          <w:color w:val="000000"/>
          <w:sz w:val="20"/>
        </w:rPr>
        <w:t>“</w:t>
      </w:r>
      <w:r>
        <w:rPr>
          <w:rFonts w:ascii="Times New Roman" w:hAnsi="Times New Roman" w:cs="Times New Roman"/>
          <w:color w:val="000000"/>
          <w:sz w:val="20"/>
        </w:rPr>
        <w:t>a state-law labeling requirement must in fact be equivalent to a requirement under FIFRA in or</w:t>
      </w:r>
      <w:r>
        <w:rPr>
          <w:rFonts w:ascii="Times New Roman" w:hAnsi="Times New Roman" w:cs="Times New Roman"/>
          <w:color w:val="000000"/>
          <w:sz w:val="20"/>
        </w:rPr>
        <w:t>der to survive pre-emption.</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Id.</w:t>
      </w:r>
      <w:r>
        <w:rPr>
          <w:rFonts w:ascii="Times New Roman" w:hAnsi="Times New Roman" w:cs="Times New Roman"/>
          <w:color w:val="0000FF"/>
          <w:sz w:val="20"/>
        </w:rPr>
        <w:t xml:space="preserve"> at p. 453</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For example, a failure-to-warn claim alleging that a given pesticide</w:t>
      </w:r>
      <w:r>
        <w:rPr>
          <w:rFonts w:ascii="Times New Roman" w:hAnsi="Times New Roman" w:cs="Times New Roman"/>
          <w:color w:val="000000"/>
          <w:sz w:val="20"/>
        </w:rPr>
        <w:t>’</w:t>
      </w:r>
      <w:r>
        <w:rPr>
          <w:rFonts w:ascii="Times New Roman" w:hAnsi="Times New Roman" w:cs="Times New Roman"/>
          <w:color w:val="000000"/>
          <w:sz w:val="20"/>
        </w:rPr>
        <w:t xml:space="preserve">s label should have stated </w:t>
      </w:r>
      <w:r>
        <w:rPr>
          <w:rFonts w:ascii="Times New Roman" w:hAnsi="Times New Roman" w:cs="Times New Roman"/>
          <w:color w:val="000000"/>
          <w:sz w:val="20"/>
        </w:rPr>
        <w:t>‘</w:t>
      </w:r>
      <w:r>
        <w:rPr>
          <w:rFonts w:ascii="Times New Roman" w:hAnsi="Times New Roman" w:cs="Times New Roman"/>
          <w:color w:val="000000"/>
          <w:sz w:val="20"/>
        </w:rPr>
        <w:t>DANGER</w:t>
      </w:r>
      <w:r>
        <w:rPr>
          <w:rFonts w:ascii="Times New Roman" w:hAnsi="Times New Roman" w:cs="Times New Roman"/>
          <w:color w:val="000000"/>
          <w:sz w:val="20"/>
        </w:rPr>
        <w:t>’</w:t>
      </w:r>
      <w:r>
        <w:rPr>
          <w:rFonts w:ascii="Times New Roman" w:hAnsi="Times New Roman" w:cs="Times New Roman"/>
          <w:color w:val="000000"/>
          <w:sz w:val="20"/>
        </w:rPr>
        <w:t xml:space="preserve"> instead of the more subdued </w:t>
      </w:r>
      <w:r>
        <w:rPr>
          <w:rFonts w:ascii="Times New Roman" w:hAnsi="Times New Roman" w:cs="Times New Roman"/>
          <w:color w:val="000000"/>
          <w:sz w:val="20"/>
        </w:rPr>
        <w:t>‘</w:t>
      </w:r>
      <w:r>
        <w:rPr>
          <w:rFonts w:ascii="Times New Roman" w:hAnsi="Times New Roman" w:cs="Times New Roman"/>
          <w:color w:val="000000"/>
          <w:sz w:val="20"/>
        </w:rPr>
        <w:t>CAUTION</w:t>
      </w:r>
      <w:r>
        <w:rPr>
          <w:rFonts w:ascii="Times New Roman" w:hAnsi="Times New Roman" w:cs="Times New Roman"/>
          <w:color w:val="000000"/>
          <w:sz w:val="20"/>
        </w:rPr>
        <w:t>’</w:t>
      </w:r>
      <w:r>
        <w:rPr>
          <w:rFonts w:ascii="Times New Roman" w:hAnsi="Times New Roman" w:cs="Times New Roman"/>
          <w:color w:val="000000"/>
          <w:sz w:val="20"/>
        </w:rPr>
        <w:t xml:space="preserve"> would be pre-empted because it is inconsistent with </w:t>
      </w:r>
      <w:r>
        <w:rPr>
          <w:rFonts w:ascii="Times New Roman" w:hAnsi="Times New Roman" w:cs="Times New Roman"/>
          <w:color w:val="0000FF"/>
          <w:sz w:val="20"/>
        </w:rPr>
        <w:t>40 C.F.R. § 15</w:t>
      </w:r>
      <w:r>
        <w:rPr>
          <w:rFonts w:ascii="Times New Roman" w:hAnsi="Times New Roman" w:cs="Times New Roman"/>
          <w:color w:val="0000FF"/>
          <w:sz w:val="20"/>
        </w:rPr>
        <w:t>6.64 (2004)</w:t>
      </w:r>
      <w:r>
        <w:rPr>
          <w:rFonts w:ascii="Times New Roman" w:hAnsi="Times New Roman" w:cs="Times New Roman"/>
          <w:color w:val="000000"/>
          <w:sz w:val="20"/>
        </w:rPr>
        <w:t>, which specifically assigns these warnings to particular classes of pesticides based on their toxicity.</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00"/>
          <w:sz w:val="20"/>
        </w:rPr>
        <w:t>Ibid.</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[A] manufacturer should not be held liable under a state labeling requirement subject to </w:t>
      </w:r>
      <w:r>
        <w:rPr>
          <w:rFonts w:ascii="Times New Roman" w:hAnsi="Times New Roman" w:cs="Times New Roman"/>
          <w:color w:val="0000FF"/>
          <w:sz w:val="20"/>
        </w:rPr>
        <w:t>§ 136v(b)</w:t>
      </w:r>
      <w:r>
        <w:rPr>
          <w:rFonts w:ascii="Times New Roman" w:hAnsi="Times New Roman" w:cs="Times New Roman"/>
          <w:color w:val="000000"/>
          <w:sz w:val="20"/>
        </w:rPr>
        <w:t xml:space="preserve"> unless the manufacturer is also</w:t>
      </w:r>
      <w:r>
        <w:rPr>
          <w:rFonts w:ascii="Times New Roman" w:hAnsi="Times New Roman" w:cs="Times New Roman"/>
          <w:color w:val="000000"/>
          <w:sz w:val="20"/>
        </w:rPr>
        <w:t xml:space="preserve"> liable for misbranding as defined by FIFRA.</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Id.</w:t>
      </w:r>
      <w:r>
        <w:rPr>
          <w:rFonts w:ascii="Times New Roman" w:hAnsi="Times New Roman" w:cs="Times New Roman"/>
          <w:color w:val="0000FF"/>
          <w:sz w:val="20"/>
        </w:rPr>
        <w:t xml:space="preserve"> at p. 454</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39" w:name="co_anchor_I2f779681cad611eaad728cad1da01"/>
      <w:bookmarkEnd w:id="39"/>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600" w:after="200"/>
        <w:jc w:val="center"/>
        <w:rPr>
          <w:rFonts w:ascii="Times New Roman" w:hAnsi="Times New Roman" w:cs="Times New Roman"/>
          <w:color w:val="000000"/>
          <w:sz w:val="20"/>
        </w:rPr>
      </w:pPr>
      <w:r>
        <w:rPr>
          <w:rFonts w:ascii="Times New Roman" w:hAnsi="Times New Roman" w:cs="Times New Roman"/>
          <w:color w:val="000000"/>
          <w:sz w:val="20"/>
        </w:rPr>
        <w:t>b. Trial Court Proceedings.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Monsanto moved in the trial court for summary judgment, arguing among other thing</w:t>
      </w:r>
      <w:r>
        <w:rPr>
          <w:rFonts w:ascii="Times New Roman" w:hAnsi="Times New Roman" w:cs="Times New Roman"/>
          <w:color w:val="000000"/>
          <w:sz w:val="20"/>
        </w:rPr>
        <w:t>s that FIFRA expressly and impliedly preempted all of Johnson</w:t>
      </w:r>
      <w:r>
        <w:rPr>
          <w:rFonts w:ascii="Times New Roman" w:hAnsi="Times New Roman" w:cs="Times New Roman"/>
          <w:color w:val="000000"/>
          <w:sz w:val="20"/>
        </w:rPr>
        <w:t>’</w:t>
      </w:r>
      <w:r>
        <w:rPr>
          <w:rFonts w:ascii="Times New Roman" w:hAnsi="Times New Roman" w:cs="Times New Roman"/>
          <w:color w:val="000000"/>
          <w:sz w:val="20"/>
        </w:rPr>
        <w:t>s causes of action. As for Johnson</w:t>
      </w:r>
      <w:r>
        <w:rPr>
          <w:rFonts w:ascii="Times New Roman" w:hAnsi="Times New Roman" w:cs="Times New Roman"/>
          <w:color w:val="000000"/>
          <w:sz w:val="20"/>
        </w:rPr>
        <w:t>’</w:t>
      </w:r>
      <w:r>
        <w:rPr>
          <w:rFonts w:ascii="Times New Roman" w:hAnsi="Times New Roman" w:cs="Times New Roman"/>
          <w:color w:val="000000"/>
          <w:sz w:val="20"/>
        </w:rPr>
        <w:t xml:space="preserve">s </w:t>
      </w:r>
      <w:r>
        <w:rPr>
          <w:rFonts w:ascii="Times New Roman" w:hAnsi="Times New Roman" w:cs="Times New Roman"/>
          <w:color w:val="000000"/>
          <w:sz w:val="20"/>
        </w:rPr>
        <w:t>“</w:t>
      </w:r>
      <w:r>
        <w:rPr>
          <w:rFonts w:ascii="Times New Roman" w:hAnsi="Times New Roman" w:cs="Times New Roman"/>
          <w:color w:val="000000"/>
          <w:sz w:val="20"/>
        </w:rPr>
        <w:t>warnings-based claims,</w:t>
      </w:r>
      <w:r>
        <w:rPr>
          <w:rFonts w:ascii="Times New Roman" w:hAnsi="Times New Roman" w:cs="Times New Roman"/>
          <w:color w:val="000000"/>
          <w:sz w:val="20"/>
        </w:rPr>
        <w:t>”</w:t>
      </w:r>
      <w:r>
        <w:rPr>
          <w:rFonts w:ascii="Times New Roman" w:hAnsi="Times New Roman" w:cs="Times New Roman"/>
          <w:color w:val="000000"/>
          <w:sz w:val="20"/>
        </w:rPr>
        <w:t xml:space="preserve"> Monsanto noted that the EPA had found glyphosate to be non-carcinogenetic and argued that FIFRA impliedly and expressly preempted th</w:t>
      </w:r>
      <w:r>
        <w:rPr>
          <w:rFonts w:ascii="Times New Roman" w:hAnsi="Times New Roman" w:cs="Times New Roman"/>
          <w:color w:val="000000"/>
          <w:sz w:val="20"/>
        </w:rPr>
        <w:t xml:space="preserve">e claims because the EPA would have rejected any attempt to add a </w:t>
      </w:r>
      <w:r>
        <w:rPr>
          <w:rFonts w:ascii="Times New Roman" w:hAnsi="Times New Roman" w:cs="Times New Roman"/>
          <w:color w:val="0000FF"/>
          <w:sz w:val="20"/>
        </w:rPr>
        <w:t>cancer</w:t>
      </w:r>
      <w:r>
        <w:rPr>
          <w:rFonts w:ascii="Times New Roman" w:hAnsi="Times New Roman" w:cs="Times New Roman"/>
          <w:color w:val="000000"/>
          <w:sz w:val="20"/>
        </w:rPr>
        <w:t xml:space="preserve"> warning to Roundup products. Monsanto relied on </w:t>
      </w:r>
      <w:r>
        <w:rPr>
          <w:rFonts w:ascii="Times New Roman" w:hAnsi="Times New Roman" w:cs="Times New Roman"/>
          <w:i/>
          <w:color w:val="000000"/>
          <w:sz w:val="20"/>
        </w:rPr>
        <w:t>Bates</w:t>
      </w:r>
      <w:r>
        <w:rPr>
          <w:rFonts w:ascii="Times New Roman" w:hAnsi="Times New Roman" w:cs="Times New Roman"/>
          <w:color w:val="000000"/>
          <w:sz w:val="20"/>
        </w:rPr>
        <w:t>’</w:t>
      </w:r>
      <w:r>
        <w:rPr>
          <w:rFonts w:ascii="Times New Roman" w:hAnsi="Times New Roman" w:cs="Times New Roman"/>
          <w:color w:val="000000"/>
          <w:sz w:val="20"/>
        </w:rPr>
        <w:t>s holding that state labeling requirements are preempted when they diverge from FIFRA</w:t>
      </w:r>
      <w:r>
        <w:rPr>
          <w:rFonts w:ascii="Times New Roman" w:hAnsi="Times New Roman" w:cs="Times New Roman"/>
          <w:color w:val="000000"/>
          <w:sz w:val="20"/>
        </w:rPr>
        <w:t>’</w:t>
      </w:r>
      <w:r>
        <w:rPr>
          <w:rFonts w:ascii="Times New Roman" w:hAnsi="Times New Roman" w:cs="Times New Roman"/>
          <w:color w:val="000000"/>
          <w:sz w:val="20"/>
        </w:rPr>
        <w:t>s labeling requirements. (</w:t>
      </w:r>
      <w:r>
        <w:rPr>
          <w:rFonts w:ascii="Times New Roman" w:hAnsi="Times New Roman" w:cs="Times New Roman"/>
          <w:i/>
          <w:color w:val="0000FF"/>
          <w:sz w:val="20"/>
        </w:rPr>
        <w:t>Bates</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544</w:t>
      </w:r>
      <w:r>
        <w:rPr>
          <w:rFonts w:ascii="Times New Roman" w:hAnsi="Times New Roman" w:cs="Times New Roman"/>
          <w:color w:val="0000FF"/>
          <w:sz w:val="20"/>
        </w:rPr>
        <w:t xml:space="preserve"> U.S. at p. 454</w:t>
      </w:r>
      <w:r>
        <w:rPr>
          <w:rFonts w:ascii="Times New Roman" w:hAnsi="Times New Roman" w:cs="Times New Roman"/>
          <w:color w:val="000000"/>
          <w:sz w:val="20"/>
        </w:rPr>
        <w:t>.) Monsanto contended that holding it liable for failing to warn of the dangers of glyphosate would directly contradict the EPA</w:t>
      </w:r>
      <w:r>
        <w:rPr>
          <w:rFonts w:ascii="Times New Roman" w:hAnsi="Times New Roman" w:cs="Times New Roman"/>
          <w:color w:val="000000"/>
          <w:sz w:val="20"/>
        </w:rPr>
        <w:t>’</w:t>
      </w:r>
      <w:r>
        <w:rPr>
          <w:rFonts w:ascii="Times New Roman" w:hAnsi="Times New Roman" w:cs="Times New Roman"/>
          <w:color w:val="000000"/>
          <w:sz w:val="20"/>
        </w:rPr>
        <w:t>s prior approvals of labels for Roundup products. As for Johnson</w:t>
      </w:r>
      <w:r>
        <w:rPr>
          <w:rFonts w:ascii="Times New Roman" w:hAnsi="Times New Roman" w:cs="Times New Roman"/>
          <w:color w:val="000000"/>
          <w:sz w:val="20"/>
        </w:rPr>
        <w:t>’</w:t>
      </w:r>
      <w:r>
        <w:rPr>
          <w:rFonts w:ascii="Times New Roman" w:hAnsi="Times New Roman" w:cs="Times New Roman"/>
          <w:color w:val="000000"/>
          <w:sz w:val="20"/>
        </w:rPr>
        <w:t>s design defect claims, Monsanto argued that the</w:t>
      </w:r>
      <w:r>
        <w:rPr>
          <w:rFonts w:ascii="Times New Roman" w:hAnsi="Times New Roman" w:cs="Times New Roman"/>
          <w:color w:val="000000"/>
          <w:sz w:val="20"/>
        </w:rPr>
        <w:t xml:space="preserve">y were impliedly preempted because they would compel Monsanto to stop selling Roundup products or would require a change in formulation. In advancing this argument, Monsanto did not cite </w:t>
      </w:r>
      <w:r>
        <w:rPr>
          <w:rFonts w:ascii="Times New Roman" w:hAnsi="Times New Roman" w:cs="Times New Roman"/>
          <w:i/>
          <w:color w:val="000000"/>
          <w:sz w:val="20"/>
        </w:rPr>
        <w:t>Bates</w:t>
      </w:r>
      <w:r>
        <w:rPr>
          <w:rFonts w:ascii="Times New Roman" w:hAnsi="Times New Roman" w:cs="Times New Roman"/>
          <w:color w:val="000000"/>
          <w:sz w:val="20"/>
        </w:rPr>
        <w:t xml:space="preserve"> and instead relied on cases analyzing different federal statute</w:t>
      </w:r>
      <w:r>
        <w:rPr>
          <w:rFonts w:ascii="Times New Roman" w:hAnsi="Times New Roman" w:cs="Times New Roman"/>
          <w:color w:val="000000"/>
          <w:sz w:val="20"/>
        </w:rPr>
        <w:t>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The trial court rejected these arguments and denied Monsanto</w:t>
      </w:r>
      <w:r>
        <w:rPr>
          <w:rFonts w:ascii="Times New Roman" w:hAnsi="Times New Roman" w:cs="Times New Roman"/>
          <w:color w:val="000000"/>
          <w:sz w:val="20"/>
        </w:rPr>
        <w:t>’</w:t>
      </w:r>
      <w:r>
        <w:rPr>
          <w:rFonts w:ascii="Times New Roman" w:hAnsi="Times New Roman" w:cs="Times New Roman"/>
          <w:color w:val="000000"/>
          <w:sz w:val="20"/>
        </w:rPr>
        <w:t xml:space="preserve">s motion. The court noted that under both </w:t>
      </w:r>
      <w:r>
        <w:rPr>
          <w:rFonts w:ascii="Times New Roman" w:hAnsi="Times New Roman" w:cs="Times New Roman"/>
          <w:color w:val="000000"/>
          <w:sz w:val="20"/>
        </w:rPr>
        <w:lastRenderedPageBreak/>
        <w:t>FIFRA and California law, a pesticide must provide adequate warnings to protect health. (</w:t>
      </w:r>
      <w:r>
        <w:rPr>
          <w:rFonts w:ascii="Times New Roman" w:hAnsi="Times New Roman" w:cs="Times New Roman"/>
          <w:color w:val="0000FF"/>
          <w:sz w:val="20"/>
        </w:rPr>
        <w:t>7 U.S.C. § 136(q)(1)(G)</w:t>
      </w:r>
      <w:r>
        <w:rPr>
          <w:rFonts w:ascii="Times New Roman" w:hAnsi="Times New Roman" w:cs="Times New Roman"/>
          <w:color w:val="000000"/>
          <w:sz w:val="20"/>
        </w:rPr>
        <w:t xml:space="preserve">; </w:t>
      </w:r>
      <w:r>
        <w:rPr>
          <w:rFonts w:ascii="Times New Roman" w:hAnsi="Times New Roman" w:cs="Times New Roman"/>
          <w:i/>
          <w:color w:val="0000FF"/>
          <w:sz w:val="20"/>
        </w:rPr>
        <w:t>Conte v. Wyeth</w:t>
      </w:r>
      <w:r>
        <w:rPr>
          <w:rFonts w:ascii="Times New Roman" w:hAnsi="Times New Roman" w:cs="Times New Roman"/>
          <w:color w:val="0000FF"/>
          <w:sz w:val="20"/>
        </w:rPr>
        <w:t xml:space="preserve"> (2008) 168 Cal.App.4th 89, 101</w:t>
      </w:r>
      <w:r>
        <w:rPr>
          <w:rFonts w:ascii="Times New Roman" w:hAnsi="Times New Roman" w:cs="Times New Roman"/>
          <w:color w:val="0000FF"/>
          <w:sz w:val="20"/>
        </w:rPr>
        <w:t>–</w:t>
      </w:r>
      <w:r>
        <w:rPr>
          <w:rFonts w:ascii="Times New Roman" w:hAnsi="Times New Roman" w:cs="Times New Roman"/>
          <w:color w:val="0000FF"/>
          <w:sz w:val="20"/>
        </w:rPr>
        <w:t>102</w:t>
      </w:r>
      <w:r>
        <w:rPr>
          <w:rFonts w:ascii="Times New Roman" w:hAnsi="Times New Roman" w:cs="Times New Roman"/>
          <w:color w:val="000000"/>
          <w:sz w:val="20"/>
        </w:rPr>
        <w:t xml:space="preserve">.) Because of this consistency, the court concluded, there was no express preemption under </w:t>
      </w:r>
      <w:r>
        <w:rPr>
          <w:rFonts w:ascii="Times New Roman" w:hAnsi="Times New Roman" w:cs="Times New Roman"/>
          <w:i/>
          <w:color w:val="000000"/>
          <w:sz w:val="20"/>
        </w:rPr>
        <w:t>Bates</w:t>
      </w:r>
      <w:r>
        <w:rPr>
          <w:rFonts w:ascii="Times New Roman" w:hAnsi="Times New Roman" w:cs="Times New Roman"/>
          <w:color w:val="000000"/>
          <w:sz w:val="20"/>
        </w:rPr>
        <w:t>. And the claims were not impliedly preempted, the court concluded, because FIFRA bars states only from imposing inconsistent</w:t>
      </w:r>
      <w:r>
        <w:rPr>
          <w:rFonts w:ascii="Times New Roman" w:hAnsi="Times New Roman" w:cs="Times New Roman"/>
          <w:color w:val="000000"/>
          <w:sz w:val="20"/>
        </w:rPr>
        <w:t xml:space="preserve"> labeling requirements. Because states retain the power under FIFRA to ban a pesticide that the EPA has approved, the fact that the EPA had approved the label for Roundup products did not mean the warnings claims were preempted. As for Johnson</w:t>
      </w:r>
      <w:r>
        <w:rPr>
          <w:rFonts w:ascii="Times New Roman" w:hAnsi="Times New Roman" w:cs="Times New Roman"/>
          <w:color w:val="000000"/>
          <w:sz w:val="20"/>
        </w:rPr>
        <w:t>’</w:t>
      </w:r>
      <w:r>
        <w:rPr>
          <w:rFonts w:ascii="Times New Roman" w:hAnsi="Times New Roman" w:cs="Times New Roman"/>
          <w:color w:val="000000"/>
          <w:sz w:val="20"/>
        </w:rPr>
        <w:t>s design def</w:t>
      </w:r>
      <w:r>
        <w:rPr>
          <w:rFonts w:ascii="Times New Roman" w:hAnsi="Times New Roman" w:cs="Times New Roman"/>
          <w:color w:val="000000"/>
          <w:sz w:val="20"/>
        </w:rPr>
        <w:t xml:space="preserve">ect claims, the trial court faulted Monsanto for relying on inapposite authority and concluded that the claims were not preempted under </w:t>
      </w:r>
      <w:r>
        <w:rPr>
          <w:rFonts w:ascii="Times New Roman" w:hAnsi="Times New Roman" w:cs="Times New Roman"/>
          <w:i/>
          <w:color w:val="000000"/>
          <w:sz w:val="20"/>
        </w:rPr>
        <w:t>Bates</w:t>
      </w:r>
      <w:r>
        <w:rPr>
          <w:rFonts w:ascii="Times New Roman" w:hAnsi="Times New Roman" w:cs="Times New Roman"/>
          <w:color w:val="000000"/>
          <w:sz w:val="20"/>
        </w:rPr>
        <w:t>. Finally, the court also granted Johnson</w:t>
      </w:r>
      <w:r>
        <w:rPr>
          <w:rFonts w:ascii="Times New Roman" w:hAnsi="Times New Roman" w:cs="Times New Roman"/>
          <w:color w:val="000000"/>
          <w:sz w:val="20"/>
        </w:rPr>
        <w:t>’</w:t>
      </w:r>
      <w:r>
        <w:rPr>
          <w:rFonts w:ascii="Times New Roman" w:hAnsi="Times New Roman" w:cs="Times New Roman"/>
          <w:color w:val="000000"/>
          <w:sz w:val="20"/>
        </w:rPr>
        <w:t>s motion for summary adjudication on Monsanto</w:t>
      </w:r>
      <w:r>
        <w:rPr>
          <w:rFonts w:ascii="Times New Roman" w:hAnsi="Times New Roman" w:cs="Times New Roman"/>
          <w:color w:val="000000"/>
          <w:sz w:val="20"/>
        </w:rPr>
        <w:t>’</w:t>
      </w:r>
      <w:r>
        <w:rPr>
          <w:rFonts w:ascii="Times New Roman" w:hAnsi="Times New Roman" w:cs="Times New Roman"/>
          <w:color w:val="000000"/>
          <w:sz w:val="20"/>
        </w:rPr>
        <w:t>s affirmative defenses that</w:t>
      </w:r>
      <w:r>
        <w:rPr>
          <w:rFonts w:ascii="Times New Roman" w:hAnsi="Times New Roman" w:cs="Times New Roman"/>
          <w:color w:val="000000"/>
          <w:sz w:val="20"/>
        </w:rPr>
        <w:t xml:space="preserve"> were based on preemption. The jury was thus not asked to consider questions of preemption.</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40" w:name="co_anchor_I2f7a55a1cad611eaad728cad1da01"/>
      <w:bookmarkEnd w:id="40"/>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600" w:after="200"/>
        <w:jc w:val="center"/>
        <w:rPr>
          <w:rFonts w:ascii="Times New Roman" w:hAnsi="Times New Roman" w:cs="Times New Roman"/>
          <w:color w:val="000000"/>
          <w:sz w:val="20"/>
        </w:rPr>
      </w:pPr>
      <w:r>
        <w:rPr>
          <w:rFonts w:ascii="Times New Roman" w:hAnsi="Times New Roman" w:cs="Times New Roman"/>
          <w:color w:val="000000"/>
          <w:sz w:val="20"/>
        </w:rPr>
        <w:t>c. Analysis.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Monsanto renewed its preemption argument in its opening brief, alth</w:t>
      </w:r>
      <w:r>
        <w:rPr>
          <w:rFonts w:ascii="Times New Roman" w:hAnsi="Times New Roman" w:cs="Times New Roman"/>
          <w:color w:val="000000"/>
          <w:sz w:val="20"/>
        </w:rPr>
        <w:t>ough it gave little attention to it. To the extent it pursues its argument that FIFRA preempts Johnson</w:t>
      </w:r>
      <w:r>
        <w:rPr>
          <w:rFonts w:ascii="Times New Roman" w:hAnsi="Times New Roman" w:cs="Times New Roman"/>
          <w:color w:val="000000"/>
          <w:sz w:val="20"/>
        </w:rPr>
        <w:t>’</w:t>
      </w:r>
      <w:r>
        <w:rPr>
          <w:rFonts w:ascii="Times New Roman" w:hAnsi="Times New Roman" w:cs="Times New Roman"/>
          <w:color w:val="000000"/>
          <w:sz w:val="20"/>
        </w:rPr>
        <w:t xml:space="preserve">s design defect claim, we agree with the trial court that the argument is foreclosed by </w:t>
      </w:r>
      <w:r>
        <w:rPr>
          <w:rFonts w:ascii="Times New Roman" w:hAnsi="Times New Roman" w:cs="Times New Roman"/>
          <w:i/>
          <w:color w:val="0000FF"/>
          <w:sz w:val="20"/>
        </w:rPr>
        <w:t>Bates</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544 U.S. at pages 434</w:t>
      </w:r>
      <w:r>
        <w:rPr>
          <w:rFonts w:ascii="Times New Roman" w:hAnsi="Times New Roman" w:cs="Times New Roman"/>
          <w:color w:val="0000FF"/>
          <w:sz w:val="20"/>
        </w:rPr>
        <w:t>–</w:t>
      </w:r>
      <w:r>
        <w:rPr>
          <w:rFonts w:ascii="Times New Roman" w:hAnsi="Times New Roman" w:cs="Times New Roman"/>
          <w:color w:val="0000FF"/>
          <w:sz w:val="20"/>
        </w:rPr>
        <w:t>435, 448, and 451</w:t>
      </w:r>
      <w:r>
        <w:rPr>
          <w:rFonts w:ascii="Times New Roman" w:hAnsi="Times New Roman" w:cs="Times New Roman"/>
          <w:color w:val="0000FF"/>
          <w:sz w:val="20"/>
        </w:rPr>
        <w:t>–</w:t>
      </w:r>
      <w:r>
        <w:rPr>
          <w:rFonts w:ascii="Times New Roman" w:hAnsi="Times New Roman" w:cs="Times New Roman"/>
          <w:color w:val="0000FF"/>
          <w:sz w:val="20"/>
        </w:rPr>
        <w:t>453</w:t>
      </w:r>
      <w:r>
        <w:rPr>
          <w:rFonts w:ascii="Times New Roman" w:hAnsi="Times New Roman" w:cs="Times New Roman"/>
          <w:color w:val="000000"/>
          <w:sz w:val="20"/>
        </w:rPr>
        <w:t>. Theref</w:t>
      </w:r>
      <w:r>
        <w:rPr>
          <w:rFonts w:ascii="Times New Roman" w:hAnsi="Times New Roman" w:cs="Times New Roman"/>
          <w:color w:val="000000"/>
          <w:sz w:val="20"/>
        </w:rPr>
        <w:t>ore, we need not further address it.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Monsanto also maintained in its opening brief, for the first time on appeal, that Johnson</w:t>
      </w:r>
      <w:r>
        <w:rPr>
          <w:rFonts w:ascii="Times New Roman" w:hAnsi="Times New Roman" w:cs="Times New Roman"/>
          <w:color w:val="000000"/>
          <w:sz w:val="20"/>
        </w:rPr>
        <w:t>’</w:t>
      </w:r>
      <w:r>
        <w:rPr>
          <w:rFonts w:ascii="Times New Roman" w:hAnsi="Times New Roman" w:cs="Times New Roman"/>
          <w:color w:val="000000"/>
          <w:sz w:val="20"/>
        </w:rPr>
        <w:t xml:space="preserve">s failure-to-warn causes of action were preempted under </w:t>
      </w:r>
      <w:r>
        <w:rPr>
          <w:rFonts w:ascii="Times New Roman" w:hAnsi="Times New Roman" w:cs="Times New Roman"/>
          <w:i/>
          <w:color w:val="000000"/>
          <w:sz w:val="20"/>
        </w:rPr>
        <w:t>Bates</w:t>
      </w:r>
      <w:r>
        <w:rPr>
          <w:rFonts w:ascii="Times New Roman" w:hAnsi="Times New Roman" w:cs="Times New Roman"/>
          <w:color w:val="000000"/>
          <w:sz w:val="20"/>
        </w:rPr>
        <w:t xml:space="preserve"> because the causes encompassed </w:t>
      </w:r>
      <w:r>
        <w:rPr>
          <w:rFonts w:ascii="Times New Roman" w:hAnsi="Times New Roman" w:cs="Times New Roman"/>
          <w:color w:val="000000"/>
          <w:sz w:val="20"/>
        </w:rPr>
        <w:t>“</w:t>
      </w:r>
      <w:r>
        <w:rPr>
          <w:rFonts w:ascii="Times New Roman" w:hAnsi="Times New Roman" w:cs="Times New Roman"/>
          <w:color w:val="000000"/>
          <w:sz w:val="20"/>
        </w:rPr>
        <w:t>a more expansive warning obligati</w:t>
      </w:r>
      <w:r>
        <w:rPr>
          <w:rFonts w:ascii="Times New Roman" w:hAnsi="Times New Roman" w:cs="Times New Roman"/>
          <w:color w:val="000000"/>
          <w:sz w:val="20"/>
        </w:rPr>
        <w:t>on</w:t>
      </w:r>
      <w:r>
        <w:rPr>
          <w:rFonts w:ascii="Times New Roman" w:hAnsi="Times New Roman" w:cs="Times New Roman"/>
          <w:color w:val="000000"/>
          <w:sz w:val="20"/>
        </w:rPr>
        <w:t>”</w:t>
      </w:r>
      <w:r>
        <w:rPr>
          <w:rFonts w:ascii="Times New Roman" w:hAnsi="Times New Roman" w:cs="Times New Roman"/>
          <w:color w:val="000000"/>
          <w:sz w:val="20"/>
        </w:rPr>
        <w:t xml:space="preserve"> than that required under FIFRA. Even if this argument was not forfeited, it lacks merit. As we mentioned, the jury was instructed that it could find Monsanto liable for failing to warn if jurors found that Roundup products had </w:t>
      </w:r>
      <w:r>
        <w:rPr>
          <w:rFonts w:ascii="Times New Roman" w:hAnsi="Times New Roman" w:cs="Times New Roman"/>
          <w:color w:val="000000"/>
          <w:sz w:val="20"/>
        </w:rPr>
        <w:t>“</w:t>
      </w:r>
      <w:r>
        <w:rPr>
          <w:rFonts w:ascii="Times New Roman" w:hAnsi="Times New Roman" w:cs="Times New Roman"/>
          <w:color w:val="000000"/>
          <w:sz w:val="20"/>
        </w:rPr>
        <w:t>potential risks that wer</w:t>
      </w:r>
      <w:r>
        <w:rPr>
          <w:rFonts w:ascii="Times New Roman" w:hAnsi="Times New Roman" w:cs="Times New Roman"/>
          <w:color w:val="000000"/>
          <w:sz w:val="20"/>
        </w:rPr>
        <w:t>e known or knowable</w:t>
      </w:r>
      <w:r>
        <w:rPr>
          <w:rFonts w:ascii="Times New Roman" w:hAnsi="Times New Roman" w:cs="Times New Roman"/>
          <w:color w:val="000000"/>
          <w:sz w:val="20"/>
        </w:rPr>
        <w:t>”</w:t>
      </w:r>
      <w:r>
        <w:rPr>
          <w:rFonts w:ascii="Times New Roman" w:hAnsi="Times New Roman" w:cs="Times New Roman"/>
          <w:color w:val="000000"/>
          <w:sz w:val="20"/>
        </w:rPr>
        <w:t xml:space="preserve"> at the time of their manufacture, distribution, or sale, and that such risks presented </w:t>
      </w:r>
      <w:r>
        <w:rPr>
          <w:rFonts w:ascii="Times New Roman" w:hAnsi="Times New Roman" w:cs="Times New Roman"/>
          <w:color w:val="000000"/>
          <w:sz w:val="20"/>
        </w:rPr>
        <w:t>“</w:t>
      </w:r>
      <w:r>
        <w:rPr>
          <w:rFonts w:ascii="Times New Roman" w:hAnsi="Times New Roman" w:cs="Times New Roman"/>
          <w:color w:val="000000"/>
          <w:sz w:val="20"/>
        </w:rPr>
        <w:t xml:space="preserve">a </w:t>
      </w:r>
      <w:r>
        <w:rPr>
          <w:rFonts w:ascii="Times New Roman" w:hAnsi="Times New Roman" w:cs="Times New Roman"/>
          <w:i/>
          <w:color w:val="000000"/>
          <w:sz w:val="20"/>
        </w:rPr>
        <w:t>substantial danger</w:t>
      </w:r>
      <w:r>
        <w:rPr>
          <w:rFonts w:ascii="Times New Roman" w:hAnsi="Times New Roman" w:cs="Times New Roman"/>
          <w:color w:val="000000"/>
          <w:sz w:val="20"/>
        </w:rPr>
        <w:t xml:space="preserve"> to persons using</w:t>
      </w:r>
      <w:r>
        <w:rPr>
          <w:rFonts w:ascii="Times New Roman" w:hAnsi="Times New Roman" w:cs="Times New Roman"/>
          <w:color w:val="000000"/>
          <w:sz w:val="20"/>
        </w:rPr>
        <w:t>”</w:t>
      </w:r>
      <w:r>
        <w:rPr>
          <w:rFonts w:ascii="Times New Roman" w:hAnsi="Times New Roman" w:cs="Times New Roman"/>
          <w:color w:val="000000"/>
          <w:sz w:val="20"/>
        </w:rPr>
        <w:t xml:space="preserve"> the products (or misusing them in an intended or reasonably foreseeable way). (Italics added.) Monsanto omit</w:t>
      </w:r>
      <w:r>
        <w:rPr>
          <w:rFonts w:ascii="Times New Roman" w:hAnsi="Times New Roman" w:cs="Times New Roman"/>
          <w:color w:val="000000"/>
          <w:sz w:val="20"/>
        </w:rPr>
        <w:t xml:space="preserve">s the </w:t>
      </w:r>
      <w:r>
        <w:rPr>
          <w:rFonts w:ascii="Times New Roman" w:hAnsi="Times New Roman" w:cs="Times New Roman"/>
          <w:color w:val="000000"/>
          <w:sz w:val="20"/>
        </w:rPr>
        <w:t>“</w:t>
      </w:r>
      <w:r>
        <w:rPr>
          <w:rFonts w:ascii="Times New Roman" w:hAnsi="Times New Roman" w:cs="Times New Roman"/>
          <w:color w:val="000000"/>
          <w:sz w:val="20"/>
        </w:rPr>
        <w:t>substantial danger</w:t>
      </w:r>
      <w:r>
        <w:rPr>
          <w:rFonts w:ascii="Times New Roman" w:hAnsi="Times New Roman" w:cs="Times New Roman"/>
          <w:color w:val="000000"/>
          <w:sz w:val="20"/>
        </w:rPr>
        <w:t>”</w:t>
      </w:r>
      <w:r>
        <w:rPr>
          <w:rFonts w:ascii="Times New Roman" w:hAnsi="Times New Roman" w:cs="Times New Roman"/>
          <w:color w:val="000000"/>
          <w:sz w:val="20"/>
        </w:rPr>
        <w:t xml:space="preserve"> portion of the instruction and contends that the jury was instructed that it could find the company liable if it found that Roundup products had only </w:t>
      </w:r>
      <w:r>
        <w:rPr>
          <w:rFonts w:ascii="Times New Roman" w:hAnsi="Times New Roman" w:cs="Times New Roman"/>
          <w:color w:val="000000"/>
          <w:sz w:val="20"/>
        </w:rPr>
        <w:t>“</w:t>
      </w:r>
      <w:r>
        <w:rPr>
          <w:rFonts w:ascii="Times New Roman" w:hAnsi="Times New Roman" w:cs="Times New Roman"/>
          <w:color w:val="000000"/>
          <w:sz w:val="20"/>
        </w:rPr>
        <w:t>potential risks.</w:t>
      </w:r>
      <w:r>
        <w:rPr>
          <w:rFonts w:ascii="Times New Roman" w:hAnsi="Times New Roman" w:cs="Times New Roman"/>
          <w:color w:val="000000"/>
          <w:sz w:val="20"/>
        </w:rPr>
        <w:t>”</w:t>
      </w:r>
      <w:r>
        <w:rPr>
          <w:rFonts w:ascii="Times New Roman" w:hAnsi="Times New Roman" w:cs="Times New Roman"/>
          <w:color w:val="000000"/>
          <w:sz w:val="20"/>
        </w:rPr>
        <w:t xml:space="preserve"> It then argues that this is a more expansive warning obligat</w:t>
      </w:r>
      <w:r>
        <w:rPr>
          <w:rFonts w:ascii="Times New Roman" w:hAnsi="Times New Roman" w:cs="Times New Roman"/>
          <w:color w:val="000000"/>
          <w:sz w:val="20"/>
        </w:rPr>
        <w:t>ion than what is required under FIFRA.</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41" w:name="co_pp_sp_999_19_1"/>
      <w:bookmarkEnd w:id="41"/>
      <w:r>
        <w:rPr>
          <w:rFonts w:ascii="Times New Roman" w:hAnsi="Times New Roman" w:cs="Times New Roman"/>
          <w:b/>
          <w:color w:val="000000"/>
          <w:sz w:val="20"/>
        </w:rPr>
        <w:t>*19</w:t>
      </w:r>
      <w:r>
        <w:rPr>
          <w:rFonts w:ascii="Times New Roman" w:hAnsi="Times New Roman" w:cs="Times New Roman"/>
          <w:color w:val="000000"/>
          <w:sz w:val="20"/>
        </w:rPr>
        <w:t xml:space="preserve"> But in support of its argument, Monsanto relies on a part of FIFRA governing the registration of pesticides that provides that the EPA administrator shall register a pesticide i</w:t>
      </w:r>
      <w:r>
        <w:rPr>
          <w:rFonts w:ascii="Times New Roman" w:hAnsi="Times New Roman" w:cs="Times New Roman"/>
          <w:color w:val="000000"/>
          <w:sz w:val="20"/>
        </w:rPr>
        <w:t xml:space="preserve">f it determines that the pesticide, </w:t>
      </w:r>
      <w:r>
        <w:rPr>
          <w:rFonts w:ascii="Times New Roman" w:hAnsi="Times New Roman" w:cs="Times New Roman"/>
          <w:color w:val="000000"/>
          <w:sz w:val="20"/>
        </w:rPr>
        <w:t>“</w:t>
      </w:r>
      <w:r>
        <w:rPr>
          <w:rFonts w:ascii="Times New Roman" w:hAnsi="Times New Roman" w:cs="Times New Roman"/>
          <w:color w:val="000000"/>
          <w:sz w:val="20"/>
        </w:rPr>
        <w:t>when used in accordance with widespread and commonly recognized practice ... will not generally cause unreasonable adverse effects on the environment.</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FF"/>
          <w:sz w:val="20"/>
        </w:rPr>
        <w:t>7 U.S.C. §§ 136(b)</w:t>
      </w:r>
      <w:r>
        <w:rPr>
          <w:rFonts w:ascii="Times New Roman" w:hAnsi="Times New Roman" w:cs="Times New Roman"/>
          <w:color w:val="000000"/>
          <w:sz w:val="20"/>
        </w:rPr>
        <w:t xml:space="preserve">, </w:t>
      </w:r>
      <w:r>
        <w:rPr>
          <w:rFonts w:ascii="Times New Roman" w:hAnsi="Times New Roman" w:cs="Times New Roman"/>
          <w:color w:val="0000FF"/>
          <w:sz w:val="20"/>
        </w:rPr>
        <w:t>136a(c)(5)(D)</w:t>
      </w:r>
      <w:r>
        <w:rPr>
          <w:rFonts w:ascii="Times New Roman" w:hAnsi="Times New Roman" w:cs="Times New Roman"/>
          <w:color w:val="000000"/>
          <w:sz w:val="20"/>
        </w:rPr>
        <w:t>.) Monsanto argues that FIFRA thu</w:t>
      </w:r>
      <w:r>
        <w:rPr>
          <w:rFonts w:ascii="Times New Roman" w:hAnsi="Times New Roman" w:cs="Times New Roman"/>
          <w:color w:val="000000"/>
          <w:sz w:val="20"/>
        </w:rPr>
        <w:t xml:space="preserve">s requires warnings only about those risks associated with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widespread and commonly recognized</w:t>
      </w:r>
      <w:r>
        <w:rPr>
          <w:rFonts w:ascii="Times New Roman" w:hAnsi="Times New Roman" w:cs="Times New Roman"/>
          <w:color w:val="000000"/>
          <w:sz w:val="20"/>
        </w:rPr>
        <w:t>’</w:t>
      </w:r>
      <w:r>
        <w:rPr>
          <w:rFonts w:ascii="Times New Roman" w:hAnsi="Times New Roman" w:cs="Times New Roman"/>
          <w:color w:val="000000"/>
          <w:sz w:val="20"/>
        </w:rPr>
        <w:t xml:space="preserve"> practices.</w:t>
      </w:r>
      <w:r>
        <w:rPr>
          <w:rFonts w:ascii="Times New Roman" w:hAnsi="Times New Roman" w:cs="Times New Roman"/>
          <w:color w:val="000000"/>
          <w:sz w:val="20"/>
        </w:rPr>
        <w:t>”</w:t>
      </w:r>
      <w:r>
        <w:rPr>
          <w:rFonts w:ascii="Times New Roman" w:hAnsi="Times New Roman" w:cs="Times New Roman"/>
          <w:color w:val="000000"/>
          <w:sz w:val="20"/>
        </w:rPr>
        <w:t xml:space="preserve"> We are not persuaded. FIFRA</w:t>
      </w:r>
      <w:r>
        <w:rPr>
          <w:rFonts w:ascii="Times New Roman" w:hAnsi="Times New Roman" w:cs="Times New Roman"/>
          <w:color w:val="000000"/>
          <w:sz w:val="20"/>
        </w:rPr>
        <w:t>’</w:t>
      </w:r>
      <w:r>
        <w:rPr>
          <w:rFonts w:ascii="Times New Roman" w:hAnsi="Times New Roman" w:cs="Times New Roman"/>
          <w:color w:val="000000"/>
          <w:sz w:val="20"/>
        </w:rPr>
        <w:t>s misbranding provisions are set forth elsewhere in the statute, and Monsanto fails to argue, let alone establish, tha</w:t>
      </w:r>
      <w:r>
        <w:rPr>
          <w:rFonts w:ascii="Times New Roman" w:hAnsi="Times New Roman" w:cs="Times New Roman"/>
          <w:color w:val="000000"/>
          <w:sz w:val="20"/>
        </w:rPr>
        <w:t xml:space="preserve">t they are inconsistent with California law. (See </w:t>
      </w:r>
      <w:r>
        <w:rPr>
          <w:rFonts w:ascii="Times New Roman" w:hAnsi="Times New Roman" w:cs="Times New Roman"/>
          <w:color w:val="0000FF"/>
          <w:sz w:val="20"/>
        </w:rPr>
        <w:t>7 U.S.C. § 136(q)(1)(G)</w:t>
      </w:r>
      <w:r>
        <w:rPr>
          <w:rFonts w:ascii="Times New Roman" w:hAnsi="Times New Roman" w:cs="Times New Roman"/>
          <w:color w:val="000000"/>
          <w:sz w:val="20"/>
        </w:rPr>
        <w:t xml:space="preserve"> [pesticide misbranded where label does not contain warning that </w:t>
      </w:r>
      <w:r>
        <w:rPr>
          <w:rFonts w:ascii="Times New Roman" w:hAnsi="Times New Roman" w:cs="Times New Roman"/>
          <w:color w:val="000000"/>
          <w:sz w:val="20"/>
        </w:rPr>
        <w:t>“</w:t>
      </w:r>
      <w:r>
        <w:rPr>
          <w:rFonts w:ascii="Times New Roman" w:hAnsi="Times New Roman" w:cs="Times New Roman"/>
          <w:color w:val="000000"/>
          <w:sz w:val="20"/>
        </w:rPr>
        <w:t>is adequate to protect health</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FF"/>
          <w:sz w:val="20"/>
        </w:rPr>
        <w:t>40 C.F.R. § 156.70(b)</w:t>
      </w:r>
      <w:r>
        <w:rPr>
          <w:rFonts w:ascii="Times New Roman" w:hAnsi="Times New Roman" w:cs="Times New Roman"/>
          <w:color w:val="000000"/>
          <w:sz w:val="20"/>
        </w:rPr>
        <w:t xml:space="preserve"> [where </w:t>
      </w:r>
      <w:r>
        <w:rPr>
          <w:rFonts w:ascii="Times New Roman" w:hAnsi="Times New Roman" w:cs="Times New Roman"/>
          <w:color w:val="000000"/>
          <w:sz w:val="20"/>
        </w:rPr>
        <w:t>“</w:t>
      </w:r>
      <w:r>
        <w:rPr>
          <w:rFonts w:ascii="Times New Roman" w:hAnsi="Times New Roman" w:cs="Times New Roman"/>
          <w:color w:val="000000"/>
          <w:sz w:val="20"/>
        </w:rPr>
        <w:t>acute hazard may exist to humans,</w:t>
      </w:r>
      <w:r>
        <w:rPr>
          <w:rFonts w:ascii="Times New Roman" w:hAnsi="Times New Roman" w:cs="Times New Roman"/>
          <w:color w:val="000000"/>
          <w:sz w:val="20"/>
        </w:rPr>
        <w:t>”</w:t>
      </w:r>
      <w:r>
        <w:rPr>
          <w:rFonts w:ascii="Times New Roman" w:hAnsi="Times New Roman" w:cs="Times New Roman"/>
          <w:color w:val="000000"/>
          <w:sz w:val="20"/>
        </w:rPr>
        <w:t xml:space="preserve"> label must bear pre</w:t>
      </w:r>
      <w:r>
        <w:rPr>
          <w:rFonts w:ascii="Times New Roman" w:hAnsi="Times New Roman" w:cs="Times New Roman"/>
          <w:color w:val="000000"/>
          <w:sz w:val="20"/>
        </w:rPr>
        <w:t xml:space="preserve">cautionary statements]; see also </w:t>
      </w:r>
      <w:r>
        <w:rPr>
          <w:rFonts w:ascii="Times New Roman" w:hAnsi="Times New Roman" w:cs="Times New Roman"/>
          <w:i/>
          <w:color w:val="0000FF"/>
          <w:sz w:val="20"/>
        </w:rPr>
        <w:t>Bates</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544 U.S. at p. 454</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To survive pre-emption, the state-law requirement need not be phrased in the </w:t>
      </w:r>
      <w:r>
        <w:rPr>
          <w:rFonts w:ascii="Times New Roman" w:hAnsi="Times New Roman" w:cs="Times New Roman"/>
          <w:i/>
          <w:color w:val="000000"/>
          <w:sz w:val="20"/>
        </w:rPr>
        <w:t>identical</w:t>
      </w:r>
      <w:r>
        <w:rPr>
          <w:rFonts w:ascii="Times New Roman" w:hAnsi="Times New Roman" w:cs="Times New Roman"/>
          <w:color w:val="000000"/>
          <w:sz w:val="20"/>
        </w:rPr>
        <w:t xml:space="preserve"> language as its corresponding FIFRA requirement</w:t>
      </w:r>
      <w:r>
        <w:rPr>
          <w:rFonts w:ascii="Times New Roman" w:hAnsi="Times New Roman" w:cs="Times New Roman"/>
          <w:color w:val="000000"/>
          <w:sz w:val="20"/>
        </w:rPr>
        <w:t>”</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We also reject Monsanto</w:t>
      </w:r>
      <w:r>
        <w:rPr>
          <w:rFonts w:ascii="Times New Roman" w:hAnsi="Times New Roman" w:cs="Times New Roman"/>
          <w:color w:val="000000"/>
          <w:sz w:val="20"/>
        </w:rPr>
        <w:t>’</w:t>
      </w:r>
      <w:r>
        <w:rPr>
          <w:rFonts w:ascii="Times New Roman" w:hAnsi="Times New Roman" w:cs="Times New Roman"/>
          <w:color w:val="000000"/>
          <w:sz w:val="20"/>
        </w:rPr>
        <w:t>s short, related argument that FIFRA expressly preempts Johnson</w:t>
      </w:r>
      <w:r>
        <w:rPr>
          <w:rFonts w:ascii="Times New Roman" w:hAnsi="Times New Roman" w:cs="Times New Roman"/>
          <w:color w:val="000000"/>
          <w:sz w:val="20"/>
        </w:rPr>
        <w:t>’</w:t>
      </w:r>
      <w:r>
        <w:rPr>
          <w:rFonts w:ascii="Times New Roman" w:hAnsi="Times New Roman" w:cs="Times New Roman"/>
          <w:color w:val="000000"/>
          <w:sz w:val="20"/>
        </w:rPr>
        <w:t>s failure-to-warn claims. Again, FIFRA preempts such claims only if state-law labeling requirements are inconsistent with FIFRA</w:t>
      </w:r>
      <w:r>
        <w:rPr>
          <w:rFonts w:ascii="Times New Roman" w:hAnsi="Times New Roman" w:cs="Times New Roman"/>
          <w:color w:val="000000"/>
          <w:sz w:val="20"/>
        </w:rPr>
        <w:t>’</w:t>
      </w:r>
      <w:r>
        <w:rPr>
          <w:rFonts w:ascii="Times New Roman" w:hAnsi="Times New Roman" w:cs="Times New Roman"/>
          <w:color w:val="000000"/>
          <w:sz w:val="20"/>
        </w:rPr>
        <w:t>s misbranding provisions. (</w:t>
      </w:r>
      <w:r>
        <w:rPr>
          <w:rFonts w:ascii="Times New Roman" w:hAnsi="Times New Roman" w:cs="Times New Roman"/>
          <w:i/>
          <w:color w:val="0000FF"/>
          <w:sz w:val="20"/>
        </w:rPr>
        <w:t>Bates</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544 U.S. at pp. 444</w:t>
      </w:r>
      <w:r>
        <w:rPr>
          <w:rFonts w:ascii="Times New Roman" w:hAnsi="Times New Roman" w:cs="Times New Roman"/>
          <w:color w:val="0000FF"/>
          <w:sz w:val="20"/>
        </w:rPr>
        <w:t>–</w:t>
      </w:r>
      <w:r>
        <w:rPr>
          <w:rFonts w:ascii="Times New Roman" w:hAnsi="Times New Roman" w:cs="Times New Roman"/>
          <w:color w:val="0000FF"/>
          <w:sz w:val="20"/>
        </w:rPr>
        <w:t>446</w:t>
      </w:r>
      <w:r>
        <w:rPr>
          <w:rFonts w:ascii="Times New Roman" w:hAnsi="Times New Roman" w:cs="Times New Roman"/>
          <w:color w:val="000000"/>
          <w:sz w:val="20"/>
        </w:rPr>
        <w:t>.) California</w:t>
      </w:r>
      <w:r>
        <w:rPr>
          <w:rFonts w:ascii="Times New Roman" w:hAnsi="Times New Roman" w:cs="Times New Roman"/>
          <w:color w:val="000000"/>
          <w:sz w:val="20"/>
        </w:rPr>
        <w:t>’</w:t>
      </w:r>
      <w:r>
        <w:rPr>
          <w:rFonts w:ascii="Times New Roman" w:hAnsi="Times New Roman" w:cs="Times New Roman"/>
          <w:color w:val="000000"/>
          <w:sz w:val="20"/>
        </w:rPr>
        <w:t>s requirement that products contain adequate warnings is wholly consistent with FIFRA</w:t>
      </w:r>
      <w:r>
        <w:rPr>
          <w:rFonts w:ascii="Times New Roman" w:hAnsi="Times New Roman" w:cs="Times New Roman"/>
          <w:color w:val="000000"/>
          <w:sz w:val="20"/>
        </w:rPr>
        <w:t>’</w:t>
      </w:r>
      <w:r>
        <w:rPr>
          <w:rFonts w:ascii="Times New Roman" w:hAnsi="Times New Roman" w:cs="Times New Roman"/>
          <w:color w:val="000000"/>
          <w:sz w:val="20"/>
        </w:rPr>
        <w:t>s requirements that labels include necessary warnings and cautionary statements. (</w:t>
      </w:r>
      <w:r>
        <w:rPr>
          <w:rFonts w:ascii="Times New Roman" w:hAnsi="Times New Roman" w:cs="Times New Roman"/>
          <w:color w:val="0000FF"/>
          <w:sz w:val="20"/>
        </w:rPr>
        <w:t>7 U.S.C. § 136(q)(1)(F) &amp; (G)</w:t>
      </w:r>
      <w:r>
        <w:rPr>
          <w:rFonts w:ascii="Times New Roman" w:hAnsi="Times New Roman" w:cs="Times New Roman"/>
          <w:color w:val="000000"/>
          <w:sz w:val="20"/>
        </w:rPr>
        <w:t xml:space="preserve">; </w:t>
      </w:r>
      <w:r>
        <w:rPr>
          <w:rFonts w:ascii="Times New Roman" w:hAnsi="Times New Roman" w:cs="Times New Roman"/>
          <w:i/>
          <w:color w:val="0000FF"/>
          <w:sz w:val="20"/>
        </w:rPr>
        <w:t>Saller v. Crown Cork &amp; Seal Co., Inc.</w:t>
      </w:r>
      <w:r>
        <w:rPr>
          <w:rFonts w:ascii="Times New Roman" w:hAnsi="Times New Roman" w:cs="Times New Roman"/>
          <w:color w:val="0000FF"/>
          <w:sz w:val="20"/>
        </w:rPr>
        <w:t xml:space="preserve">, </w:t>
      </w:r>
      <w:r>
        <w:rPr>
          <w:rFonts w:ascii="Times New Roman" w:hAnsi="Times New Roman" w:cs="Times New Roman"/>
          <w:i/>
          <w:color w:val="0000FF"/>
          <w:sz w:val="20"/>
        </w:rPr>
        <w:t>supr</w:t>
      </w:r>
      <w:r>
        <w:rPr>
          <w:rFonts w:ascii="Times New Roman" w:hAnsi="Times New Roman" w:cs="Times New Roman"/>
          <w:i/>
          <w:color w:val="0000FF"/>
          <w:sz w:val="20"/>
        </w:rPr>
        <w:t>a</w:t>
      </w:r>
      <w:r>
        <w:rPr>
          <w:rFonts w:ascii="Times New Roman" w:hAnsi="Times New Roman" w:cs="Times New Roman"/>
          <w:color w:val="0000FF"/>
          <w:sz w:val="20"/>
        </w:rPr>
        <w:t>, 187 Cal.App.4th at p. 1238</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We recognize that Monsanto is required to seek and obtain EPA approval before changing labels for its Roundup products, and that the EPA repeatedly approved Monsanto</w:t>
      </w:r>
      <w:r>
        <w:rPr>
          <w:rFonts w:ascii="Times New Roman" w:hAnsi="Times New Roman" w:cs="Times New Roman"/>
          <w:color w:val="000000"/>
          <w:sz w:val="20"/>
        </w:rPr>
        <w:t>’</w:t>
      </w:r>
      <w:r>
        <w:rPr>
          <w:rFonts w:ascii="Times New Roman" w:hAnsi="Times New Roman" w:cs="Times New Roman"/>
          <w:color w:val="000000"/>
          <w:sz w:val="20"/>
        </w:rPr>
        <w:t xml:space="preserve">s labels, which do not include a </w:t>
      </w:r>
      <w:r>
        <w:rPr>
          <w:rFonts w:ascii="Times New Roman" w:hAnsi="Times New Roman" w:cs="Times New Roman"/>
          <w:color w:val="0000FF"/>
          <w:sz w:val="20"/>
        </w:rPr>
        <w:t>cancer</w:t>
      </w:r>
      <w:r>
        <w:rPr>
          <w:rFonts w:ascii="Times New Roman" w:hAnsi="Times New Roman" w:cs="Times New Roman"/>
          <w:color w:val="000000"/>
          <w:sz w:val="20"/>
        </w:rPr>
        <w:t xml:space="preserve"> warning. (</w:t>
      </w:r>
      <w:r>
        <w:rPr>
          <w:rFonts w:ascii="Times New Roman" w:hAnsi="Times New Roman" w:cs="Times New Roman"/>
          <w:color w:val="0000FF"/>
          <w:sz w:val="20"/>
        </w:rPr>
        <w:t>7 U.S.</w:t>
      </w:r>
      <w:r>
        <w:rPr>
          <w:rFonts w:ascii="Times New Roman" w:hAnsi="Times New Roman" w:cs="Times New Roman"/>
          <w:color w:val="0000FF"/>
          <w:sz w:val="20"/>
        </w:rPr>
        <w:t>C. § 136a(f)(1)</w:t>
      </w:r>
      <w:r>
        <w:rPr>
          <w:rFonts w:ascii="Times New Roman" w:hAnsi="Times New Roman" w:cs="Times New Roman"/>
          <w:color w:val="000000"/>
          <w:sz w:val="20"/>
        </w:rPr>
        <w:t xml:space="preserve">.) But </w:t>
      </w:r>
      <w:r>
        <w:rPr>
          <w:rFonts w:ascii="Times New Roman" w:hAnsi="Times New Roman" w:cs="Times New Roman"/>
          <w:i/>
          <w:color w:val="000000"/>
          <w:sz w:val="20"/>
        </w:rPr>
        <w:t>Bates</w:t>
      </w:r>
      <w:r>
        <w:rPr>
          <w:rFonts w:ascii="Times New Roman" w:hAnsi="Times New Roman" w:cs="Times New Roman"/>
          <w:color w:val="000000"/>
          <w:sz w:val="20"/>
        </w:rPr>
        <w:t xml:space="preserve"> informs us that the existence of these requirements and actions are not enough, standing alone, to preempt state failure-to-warn claims. (</w:t>
      </w:r>
      <w:r>
        <w:rPr>
          <w:rFonts w:ascii="Times New Roman" w:hAnsi="Times New Roman" w:cs="Times New Roman"/>
          <w:i/>
          <w:color w:val="0000FF"/>
          <w:sz w:val="20"/>
        </w:rPr>
        <w:t>Bates</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544 U.S. at pp. 450</w:t>
      </w:r>
      <w:r>
        <w:rPr>
          <w:rFonts w:ascii="Times New Roman" w:hAnsi="Times New Roman" w:cs="Times New Roman"/>
          <w:color w:val="0000FF"/>
          <w:sz w:val="20"/>
        </w:rPr>
        <w:t>–</w:t>
      </w:r>
      <w:r>
        <w:rPr>
          <w:rFonts w:ascii="Times New Roman" w:hAnsi="Times New Roman" w:cs="Times New Roman"/>
          <w:color w:val="0000FF"/>
          <w:sz w:val="20"/>
        </w:rPr>
        <w:t>451</w:t>
      </w:r>
      <w:r>
        <w:rPr>
          <w:rFonts w:ascii="Times New Roman" w:hAnsi="Times New Roman" w:cs="Times New Roman"/>
          <w:color w:val="000000"/>
          <w:sz w:val="20"/>
        </w:rPr>
        <w:t xml:space="preserve">.) Under FIFRA, registration of a pesticide is prima </w:t>
      </w:r>
      <w:r>
        <w:rPr>
          <w:rFonts w:ascii="Times New Roman" w:hAnsi="Times New Roman" w:cs="Times New Roman"/>
          <w:color w:val="000000"/>
          <w:sz w:val="20"/>
        </w:rPr>
        <w:t xml:space="preserve">facie evidence that the pesticide and its labeling is consistent with FIFRA, but </w:t>
      </w:r>
      <w:r>
        <w:rPr>
          <w:rFonts w:ascii="Times New Roman" w:hAnsi="Times New Roman" w:cs="Times New Roman"/>
          <w:color w:val="000000"/>
          <w:sz w:val="20"/>
        </w:rPr>
        <w:t>“</w:t>
      </w:r>
      <w:r>
        <w:rPr>
          <w:rFonts w:ascii="Times New Roman" w:hAnsi="Times New Roman" w:cs="Times New Roman"/>
          <w:color w:val="000000"/>
          <w:sz w:val="20"/>
        </w:rPr>
        <w:t>[i]n no event shall registration ... be construed as a defense for the commission of any offense</w:t>
      </w:r>
      <w:r>
        <w:rPr>
          <w:rFonts w:ascii="Times New Roman" w:hAnsi="Times New Roman" w:cs="Times New Roman"/>
          <w:color w:val="000000"/>
          <w:sz w:val="20"/>
        </w:rPr>
        <w:t>”</w:t>
      </w:r>
      <w:r>
        <w:rPr>
          <w:rFonts w:ascii="Times New Roman" w:hAnsi="Times New Roman" w:cs="Times New Roman"/>
          <w:color w:val="000000"/>
          <w:sz w:val="20"/>
        </w:rPr>
        <w:t xml:space="preserve"> under FIFRA. (</w:t>
      </w:r>
      <w:r>
        <w:rPr>
          <w:rFonts w:ascii="Times New Roman" w:hAnsi="Times New Roman" w:cs="Times New Roman"/>
          <w:color w:val="0000FF"/>
          <w:sz w:val="20"/>
        </w:rPr>
        <w:t>7 U.S.C. § 136a(f)(2)</w:t>
      </w:r>
      <w:r>
        <w:rPr>
          <w:rFonts w:ascii="Times New Roman" w:hAnsi="Times New Roman" w:cs="Times New Roman"/>
          <w:color w:val="000000"/>
          <w:sz w:val="20"/>
        </w:rPr>
        <w:t>.) Multiple federal courts have held that</w:t>
      </w:r>
      <w:r>
        <w:rPr>
          <w:rFonts w:ascii="Times New Roman" w:hAnsi="Times New Roman" w:cs="Times New Roman"/>
          <w:color w:val="000000"/>
          <w:sz w:val="20"/>
        </w:rPr>
        <w:t xml:space="preserve"> the EPA</w:t>
      </w:r>
      <w:r>
        <w:rPr>
          <w:rFonts w:ascii="Times New Roman" w:hAnsi="Times New Roman" w:cs="Times New Roman"/>
          <w:color w:val="000000"/>
          <w:sz w:val="20"/>
        </w:rPr>
        <w:t>’</w:t>
      </w:r>
      <w:r>
        <w:rPr>
          <w:rFonts w:ascii="Times New Roman" w:hAnsi="Times New Roman" w:cs="Times New Roman"/>
          <w:color w:val="000000"/>
          <w:sz w:val="20"/>
        </w:rPr>
        <w:t xml:space="preserve">s registration of Roundup products does not have the force of law so as to preempt state failure-to-warn claims when those claims are premised on requirements consistent with FIFRA. (E.g., </w:t>
      </w:r>
      <w:r>
        <w:rPr>
          <w:rFonts w:ascii="Times New Roman" w:hAnsi="Times New Roman" w:cs="Times New Roman"/>
          <w:i/>
          <w:color w:val="0000FF"/>
          <w:sz w:val="20"/>
        </w:rPr>
        <w:t>Hardeman v. Monsanto Co.</w:t>
      </w:r>
      <w:r>
        <w:rPr>
          <w:rFonts w:ascii="Times New Roman" w:hAnsi="Times New Roman" w:cs="Times New Roman"/>
          <w:color w:val="0000FF"/>
          <w:sz w:val="20"/>
        </w:rPr>
        <w:t xml:space="preserve"> (N.D.Cal. 2016) 216 F.Supp.3d 103</w:t>
      </w:r>
      <w:r>
        <w:rPr>
          <w:rFonts w:ascii="Times New Roman" w:hAnsi="Times New Roman" w:cs="Times New Roman"/>
          <w:color w:val="0000FF"/>
          <w:sz w:val="20"/>
        </w:rPr>
        <w:t>7, 1038</w:t>
      </w:r>
      <w:r>
        <w:rPr>
          <w:rFonts w:ascii="Times New Roman" w:hAnsi="Times New Roman" w:cs="Times New Roman"/>
          <w:color w:val="0000FF"/>
          <w:sz w:val="20"/>
        </w:rPr>
        <w:t>–</w:t>
      </w:r>
      <w:r>
        <w:rPr>
          <w:rFonts w:ascii="Times New Roman" w:hAnsi="Times New Roman" w:cs="Times New Roman"/>
          <w:color w:val="0000FF"/>
          <w:sz w:val="20"/>
        </w:rPr>
        <w:t>1039</w:t>
      </w:r>
      <w:r>
        <w:rPr>
          <w:rFonts w:ascii="Times New Roman" w:hAnsi="Times New Roman" w:cs="Times New Roman"/>
          <w:color w:val="000000"/>
          <w:sz w:val="20"/>
        </w:rPr>
        <w:t xml:space="preserve">; </w:t>
      </w:r>
      <w:r>
        <w:rPr>
          <w:rFonts w:ascii="Times New Roman" w:hAnsi="Times New Roman" w:cs="Times New Roman"/>
          <w:i/>
          <w:color w:val="000000"/>
          <w:sz w:val="20"/>
        </w:rPr>
        <w:t>Carias v. Monsanto Co.</w:t>
      </w:r>
      <w:r>
        <w:rPr>
          <w:rFonts w:ascii="Times New Roman" w:hAnsi="Times New Roman" w:cs="Times New Roman"/>
          <w:color w:val="000000"/>
          <w:sz w:val="20"/>
        </w:rPr>
        <w:t xml:space="preserve"> (E.D.N.Y. 2016) 2016 U.S. Dist. LEXIS 139883, pp. *5</w:t>
      </w:r>
      <w:r>
        <w:rPr>
          <w:rFonts w:ascii="Times New Roman" w:hAnsi="Times New Roman" w:cs="Times New Roman"/>
          <w:color w:val="000000"/>
          <w:sz w:val="20"/>
        </w:rPr>
        <w:t>–</w:t>
      </w:r>
      <w:r>
        <w:rPr>
          <w:rFonts w:ascii="Times New Roman" w:hAnsi="Times New Roman" w:cs="Times New Roman"/>
          <w:color w:val="000000"/>
          <w:sz w:val="20"/>
        </w:rPr>
        <w:t xml:space="preserve">*6; </w:t>
      </w:r>
      <w:r>
        <w:rPr>
          <w:rFonts w:ascii="Times New Roman" w:hAnsi="Times New Roman" w:cs="Times New Roman"/>
          <w:i/>
          <w:color w:val="000000"/>
          <w:sz w:val="20"/>
        </w:rPr>
        <w:t>Hernandez v. Monsanto Co.</w:t>
      </w:r>
      <w:r>
        <w:rPr>
          <w:rFonts w:ascii="Times New Roman" w:hAnsi="Times New Roman" w:cs="Times New Roman"/>
          <w:color w:val="000000"/>
          <w:sz w:val="20"/>
        </w:rPr>
        <w:t xml:space="preserve"> (C.D.Cal. </w:t>
      </w:r>
      <w:r>
        <w:rPr>
          <w:rFonts w:ascii="Times New Roman" w:hAnsi="Times New Roman" w:cs="Times New Roman"/>
          <w:color w:val="000000"/>
          <w:sz w:val="20"/>
        </w:rPr>
        <w:lastRenderedPageBreak/>
        <w:t xml:space="preserve">2016) 2016 U.S. Dist. LEXIS 126930, p. *19; </w:t>
      </w:r>
      <w:r>
        <w:rPr>
          <w:rFonts w:ascii="Times New Roman" w:hAnsi="Times New Roman" w:cs="Times New Roman"/>
          <w:i/>
          <w:color w:val="000000"/>
          <w:sz w:val="20"/>
        </w:rPr>
        <w:t>Sheppard v. Monsanto Co.</w:t>
      </w:r>
      <w:r>
        <w:rPr>
          <w:rFonts w:ascii="Times New Roman" w:hAnsi="Times New Roman" w:cs="Times New Roman"/>
          <w:color w:val="000000"/>
          <w:sz w:val="20"/>
        </w:rPr>
        <w:t xml:space="preserve"> (D.Hawaii 2016) 2016 U.S. Dist. LEXIS 84348, pp. *22</w:t>
      </w:r>
      <w:r>
        <w:rPr>
          <w:rFonts w:ascii="Times New Roman" w:hAnsi="Times New Roman" w:cs="Times New Roman"/>
          <w:color w:val="000000"/>
          <w:sz w:val="20"/>
        </w:rPr>
        <w:t>–</w:t>
      </w:r>
      <w:r>
        <w:rPr>
          <w:rFonts w:ascii="Times New Roman" w:hAnsi="Times New Roman" w:cs="Times New Roman"/>
          <w:color w:val="000000"/>
          <w:sz w:val="20"/>
        </w:rPr>
        <w:t>*23.</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Even though the federal and California statutory schemes are consistent and multiple federal courts have rejected Monsanto</w:t>
      </w:r>
      <w:r>
        <w:rPr>
          <w:rFonts w:ascii="Times New Roman" w:hAnsi="Times New Roman" w:cs="Times New Roman"/>
          <w:color w:val="000000"/>
          <w:sz w:val="20"/>
        </w:rPr>
        <w:t>’</w:t>
      </w:r>
      <w:r>
        <w:rPr>
          <w:rFonts w:ascii="Times New Roman" w:hAnsi="Times New Roman" w:cs="Times New Roman"/>
          <w:color w:val="000000"/>
          <w:sz w:val="20"/>
        </w:rPr>
        <w:t xml:space="preserve">s preemption arguments, Monsanto insists in its opening brief that </w:t>
      </w:r>
      <w:r>
        <w:rPr>
          <w:rFonts w:ascii="Times New Roman" w:hAnsi="Times New Roman" w:cs="Times New Roman"/>
          <w:color w:val="000000"/>
          <w:sz w:val="20"/>
        </w:rPr>
        <w:t>“</w:t>
      </w:r>
      <w:r>
        <w:rPr>
          <w:rFonts w:ascii="Times New Roman" w:hAnsi="Times New Roman" w:cs="Times New Roman"/>
          <w:color w:val="000000"/>
          <w:sz w:val="20"/>
        </w:rPr>
        <w:t>impossibility preemption</w:t>
      </w:r>
      <w:r>
        <w:rPr>
          <w:rFonts w:ascii="Times New Roman" w:hAnsi="Times New Roman" w:cs="Times New Roman"/>
          <w:color w:val="000000"/>
          <w:sz w:val="20"/>
        </w:rPr>
        <w:t>”</w:t>
      </w:r>
      <w:r>
        <w:rPr>
          <w:rFonts w:ascii="Times New Roman" w:hAnsi="Times New Roman" w:cs="Times New Roman"/>
          <w:color w:val="000000"/>
          <w:sz w:val="20"/>
        </w:rPr>
        <w:t xml:space="preserve"> nonetheless bars Johnson</w:t>
      </w:r>
      <w:r>
        <w:rPr>
          <w:rFonts w:ascii="Times New Roman" w:hAnsi="Times New Roman" w:cs="Times New Roman"/>
          <w:color w:val="000000"/>
          <w:sz w:val="20"/>
        </w:rPr>
        <w:t>’</w:t>
      </w:r>
      <w:r>
        <w:rPr>
          <w:rFonts w:ascii="Times New Roman" w:hAnsi="Times New Roman" w:cs="Times New Roman"/>
          <w:color w:val="000000"/>
          <w:sz w:val="20"/>
        </w:rPr>
        <w:t>s failure-</w:t>
      </w:r>
      <w:r>
        <w:rPr>
          <w:rFonts w:ascii="Times New Roman" w:hAnsi="Times New Roman" w:cs="Times New Roman"/>
          <w:color w:val="000000"/>
          <w:sz w:val="20"/>
        </w:rPr>
        <w:t xml:space="preserve">to-warn claims because there is </w:t>
      </w:r>
      <w:r>
        <w:rPr>
          <w:rFonts w:ascii="Times New Roman" w:hAnsi="Times New Roman" w:cs="Times New Roman"/>
          <w:color w:val="000000"/>
          <w:sz w:val="20"/>
        </w:rPr>
        <w:t>“</w:t>
      </w:r>
      <w:r>
        <w:rPr>
          <w:rFonts w:ascii="Times New Roman" w:hAnsi="Times New Roman" w:cs="Times New Roman"/>
          <w:color w:val="000000"/>
          <w:sz w:val="20"/>
        </w:rPr>
        <w:t xml:space="preserve">clear, indeed dispositive, evidence that [the] EPA would have rejected a </w:t>
      </w:r>
      <w:r>
        <w:rPr>
          <w:rFonts w:ascii="Times New Roman" w:hAnsi="Times New Roman" w:cs="Times New Roman"/>
          <w:color w:val="0000FF"/>
          <w:sz w:val="20"/>
        </w:rPr>
        <w:t>cancer</w:t>
      </w:r>
      <w:r>
        <w:rPr>
          <w:rFonts w:ascii="Times New Roman" w:hAnsi="Times New Roman" w:cs="Times New Roman"/>
          <w:color w:val="000000"/>
          <w:sz w:val="20"/>
        </w:rPr>
        <w:t xml:space="preserve"> warning had Monsanto proposed one.</w:t>
      </w:r>
      <w:r>
        <w:rPr>
          <w:rFonts w:ascii="Times New Roman" w:hAnsi="Times New Roman" w:cs="Times New Roman"/>
          <w:color w:val="000000"/>
          <w:sz w:val="20"/>
        </w:rPr>
        <w:t>”</w:t>
      </w:r>
      <w:r>
        <w:rPr>
          <w:rFonts w:ascii="Times New Roman" w:hAnsi="Times New Roman" w:cs="Times New Roman"/>
          <w:color w:val="000000"/>
          <w:sz w:val="20"/>
        </w:rPr>
        <w:t xml:space="preserve"> Monsanto reasons that the agency </w:t>
      </w:r>
      <w:r>
        <w:rPr>
          <w:rFonts w:ascii="Times New Roman" w:hAnsi="Times New Roman" w:cs="Times New Roman"/>
          <w:color w:val="000000"/>
          <w:sz w:val="20"/>
        </w:rPr>
        <w:t>“</w:t>
      </w:r>
      <w:r>
        <w:rPr>
          <w:rFonts w:ascii="Times New Roman" w:hAnsi="Times New Roman" w:cs="Times New Roman"/>
          <w:color w:val="000000"/>
          <w:sz w:val="20"/>
        </w:rPr>
        <w:t xml:space="preserve">would not possibly have required a </w:t>
      </w:r>
      <w:r>
        <w:rPr>
          <w:rFonts w:ascii="Times New Roman" w:hAnsi="Times New Roman" w:cs="Times New Roman"/>
          <w:color w:val="0000FF"/>
          <w:sz w:val="20"/>
        </w:rPr>
        <w:t>cancer</w:t>
      </w:r>
      <w:r>
        <w:rPr>
          <w:rFonts w:ascii="Times New Roman" w:hAnsi="Times New Roman" w:cs="Times New Roman"/>
          <w:color w:val="000000"/>
          <w:sz w:val="20"/>
        </w:rPr>
        <w:t xml:space="preserve"> warning</w:t>
      </w:r>
      <w:r>
        <w:rPr>
          <w:rFonts w:ascii="Times New Roman" w:hAnsi="Times New Roman" w:cs="Times New Roman"/>
          <w:color w:val="000000"/>
          <w:sz w:val="20"/>
        </w:rPr>
        <w:t>”</w:t>
      </w:r>
      <w:r>
        <w:rPr>
          <w:rFonts w:ascii="Times New Roman" w:hAnsi="Times New Roman" w:cs="Times New Roman"/>
          <w:color w:val="000000"/>
          <w:sz w:val="20"/>
        </w:rPr>
        <w:t xml:space="preserve"> because it repeatedly </w:t>
      </w:r>
      <w:r>
        <w:rPr>
          <w:rFonts w:ascii="Times New Roman" w:hAnsi="Times New Roman" w:cs="Times New Roman"/>
          <w:color w:val="000000"/>
          <w:sz w:val="20"/>
        </w:rPr>
        <w:t xml:space="preserve">determined that glyphosate was not unsafe. But just because the EPA has not previously required a </w:t>
      </w:r>
      <w:r>
        <w:rPr>
          <w:rFonts w:ascii="Times New Roman" w:hAnsi="Times New Roman" w:cs="Times New Roman"/>
          <w:color w:val="0000FF"/>
          <w:sz w:val="20"/>
        </w:rPr>
        <w:t>cancer</w:t>
      </w:r>
      <w:r>
        <w:rPr>
          <w:rFonts w:ascii="Times New Roman" w:hAnsi="Times New Roman" w:cs="Times New Roman"/>
          <w:color w:val="000000"/>
          <w:sz w:val="20"/>
        </w:rPr>
        <w:t xml:space="preserve"> warning does not establish that the agency would necessarily disallow one.</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Since Monsanto appealed, the U.S. Supreme Court has clarified that the que</w:t>
      </w:r>
      <w:r>
        <w:rPr>
          <w:rFonts w:ascii="Times New Roman" w:hAnsi="Times New Roman" w:cs="Times New Roman"/>
          <w:color w:val="000000"/>
          <w:sz w:val="20"/>
        </w:rPr>
        <w:t>stion whether a federal agency would not have approved a label change (thus preempting a state-law failure-to-warn claim) is for a judge, not a jury. (</w:t>
      </w:r>
      <w:r>
        <w:rPr>
          <w:rFonts w:ascii="Times New Roman" w:hAnsi="Times New Roman" w:cs="Times New Roman"/>
          <w:i/>
          <w:color w:val="0000FF"/>
          <w:sz w:val="20"/>
        </w:rPr>
        <w:t>Merck Sharp &amp; Dohme Corp. v. Albrecht</w:t>
      </w:r>
      <w:r>
        <w:rPr>
          <w:rFonts w:ascii="Times New Roman" w:hAnsi="Times New Roman" w:cs="Times New Roman"/>
          <w:color w:val="0000FF"/>
          <w:sz w:val="20"/>
        </w:rPr>
        <w:t xml:space="preserve"> (2019) ___ U.S. ___ [139 S.Ct. 1668, 1672]</w:t>
      </w:r>
      <w:r>
        <w:rPr>
          <w:rFonts w:ascii="Times New Roman" w:hAnsi="Times New Roman" w:cs="Times New Roman"/>
          <w:color w:val="000000"/>
          <w:sz w:val="20"/>
        </w:rPr>
        <w:t xml:space="preserve"> (</w:t>
      </w:r>
      <w:r>
        <w:rPr>
          <w:rFonts w:ascii="Times New Roman" w:hAnsi="Times New Roman" w:cs="Times New Roman"/>
          <w:i/>
          <w:color w:val="000000"/>
          <w:sz w:val="20"/>
        </w:rPr>
        <w:t>Albrecht</w:t>
      </w:r>
      <w:r>
        <w:rPr>
          <w:rFonts w:ascii="Times New Roman" w:hAnsi="Times New Roman" w:cs="Times New Roman"/>
          <w:color w:val="000000"/>
          <w:sz w:val="20"/>
        </w:rPr>
        <w:t>).) But evidenc</w:t>
      </w:r>
      <w:r>
        <w:rPr>
          <w:rFonts w:ascii="Times New Roman" w:hAnsi="Times New Roman" w:cs="Times New Roman"/>
          <w:color w:val="000000"/>
          <w:sz w:val="20"/>
        </w:rPr>
        <w:t xml:space="preserve">e about whether the EPA might have approved a </w:t>
      </w:r>
      <w:r>
        <w:rPr>
          <w:rFonts w:ascii="Times New Roman" w:hAnsi="Times New Roman" w:cs="Times New Roman"/>
          <w:color w:val="0000FF"/>
          <w:sz w:val="20"/>
        </w:rPr>
        <w:t>cancer</w:t>
      </w:r>
      <w:r>
        <w:rPr>
          <w:rFonts w:ascii="Times New Roman" w:hAnsi="Times New Roman" w:cs="Times New Roman"/>
          <w:color w:val="000000"/>
          <w:sz w:val="20"/>
        </w:rPr>
        <w:t xml:space="preserve"> warning was largely presented for the first time on appeal, and we, as a reviewing court, are not in the best position to evaluate it. As we have mentioned, after Monsanto filed its opening brief it subm</w:t>
      </w:r>
      <w:r>
        <w:rPr>
          <w:rFonts w:ascii="Times New Roman" w:hAnsi="Times New Roman" w:cs="Times New Roman"/>
          <w:color w:val="000000"/>
          <w:sz w:val="20"/>
        </w:rPr>
        <w:t xml:space="preserve">itted materials that it claims shows that the EPA currently would reject a </w:t>
      </w:r>
      <w:r>
        <w:rPr>
          <w:rFonts w:ascii="Times New Roman" w:hAnsi="Times New Roman" w:cs="Times New Roman"/>
          <w:color w:val="0000FF"/>
          <w:sz w:val="20"/>
        </w:rPr>
        <w:t>cancer</w:t>
      </w:r>
      <w:r>
        <w:rPr>
          <w:rFonts w:ascii="Times New Roman" w:hAnsi="Times New Roman" w:cs="Times New Roman"/>
          <w:color w:val="000000"/>
          <w:sz w:val="20"/>
        </w:rPr>
        <w:t xml:space="preserve"> warning on the labels of Roundup products. For example, in Monsanto</w:t>
      </w:r>
      <w:r>
        <w:rPr>
          <w:rFonts w:ascii="Times New Roman" w:hAnsi="Times New Roman" w:cs="Times New Roman"/>
          <w:color w:val="000000"/>
          <w:sz w:val="20"/>
        </w:rPr>
        <w:t>’</w:t>
      </w:r>
      <w:r>
        <w:rPr>
          <w:rFonts w:ascii="Times New Roman" w:hAnsi="Times New Roman" w:cs="Times New Roman"/>
          <w:color w:val="000000"/>
          <w:sz w:val="20"/>
        </w:rPr>
        <w:t>s combined appellant</w:t>
      </w:r>
      <w:r>
        <w:rPr>
          <w:rFonts w:ascii="Times New Roman" w:hAnsi="Times New Roman" w:cs="Times New Roman"/>
          <w:color w:val="000000"/>
          <w:sz w:val="20"/>
        </w:rPr>
        <w:t>’</w:t>
      </w:r>
      <w:r>
        <w:rPr>
          <w:rFonts w:ascii="Times New Roman" w:hAnsi="Times New Roman" w:cs="Times New Roman"/>
          <w:color w:val="000000"/>
          <w:sz w:val="20"/>
        </w:rPr>
        <w:t>s reply brief/cross-respondent</w:t>
      </w:r>
      <w:r>
        <w:rPr>
          <w:rFonts w:ascii="Times New Roman" w:hAnsi="Times New Roman" w:cs="Times New Roman"/>
          <w:color w:val="000000"/>
          <w:sz w:val="20"/>
        </w:rPr>
        <w:t>’</w:t>
      </w:r>
      <w:r>
        <w:rPr>
          <w:rFonts w:ascii="Times New Roman" w:hAnsi="Times New Roman" w:cs="Times New Roman"/>
          <w:color w:val="000000"/>
          <w:sz w:val="20"/>
        </w:rPr>
        <w:t xml:space="preserve">s brief, it cites an April 2019 EPA </w:t>
      </w:r>
      <w:r>
        <w:rPr>
          <w:rFonts w:ascii="Times New Roman" w:hAnsi="Times New Roman" w:cs="Times New Roman"/>
          <w:color w:val="000000"/>
          <w:sz w:val="20"/>
        </w:rPr>
        <w:t>“</w:t>
      </w:r>
      <w:r>
        <w:rPr>
          <w:rFonts w:ascii="Times New Roman" w:hAnsi="Times New Roman" w:cs="Times New Roman"/>
          <w:color w:val="000000"/>
          <w:sz w:val="20"/>
        </w:rPr>
        <w:t xml:space="preserve">Proposed Interim </w:t>
      </w:r>
      <w:r>
        <w:rPr>
          <w:rFonts w:ascii="Times New Roman" w:hAnsi="Times New Roman" w:cs="Times New Roman"/>
          <w:color w:val="000000"/>
          <w:sz w:val="20"/>
        </w:rPr>
        <w:t>Registration Review Decision</w:t>
      </w:r>
      <w:r>
        <w:rPr>
          <w:rFonts w:ascii="Times New Roman" w:hAnsi="Times New Roman" w:cs="Times New Roman"/>
          <w:color w:val="000000"/>
          <w:sz w:val="20"/>
        </w:rPr>
        <w:t>”</w:t>
      </w:r>
      <w:r>
        <w:rPr>
          <w:rFonts w:ascii="Times New Roman" w:hAnsi="Times New Roman" w:cs="Times New Roman"/>
          <w:color w:val="000000"/>
          <w:sz w:val="20"/>
        </w:rPr>
        <w:t xml:space="preserve"> regarding registration requirements for glyphosate. The document states, as Monsanto witnesses testified below, that the EPA has not found human-health risks from exposure to glyphosate. Then, after completing its appellate br</w:t>
      </w:r>
      <w:r>
        <w:rPr>
          <w:rFonts w:ascii="Times New Roman" w:hAnsi="Times New Roman" w:cs="Times New Roman"/>
          <w:color w:val="000000"/>
          <w:sz w:val="20"/>
        </w:rPr>
        <w:t>iefing, Monsanto filed a notice of new authority (</w:t>
      </w:r>
      <w:r>
        <w:rPr>
          <w:rFonts w:ascii="Times New Roman" w:hAnsi="Times New Roman" w:cs="Times New Roman"/>
          <w:color w:val="0000FF"/>
          <w:sz w:val="20"/>
        </w:rPr>
        <w:t>Cal. Rules of Court, rule 8.254</w:t>
      </w:r>
      <w:r>
        <w:rPr>
          <w:rFonts w:ascii="Times New Roman" w:hAnsi="Times New Roman" w:cs="Times New Roman"/>
          <w:color w:val="000000"/>
          <w:sz w:val="20"/>
        </w:rPr>
        <w:t xml:space="preserve">) and directed the court to an August 7, 2019 EPA letter to a </w:t>
      </w:r>
      <w:r>
        <w:rPr>
          <w:rFonts w:ascii="Times New Roman" w:hAnsi="Times New Roman" w:cs="Times New Roman"/>
          <w:color w:val="000000"/>
          <w:sz w:val="20"/>
        </w:rPr>
        <w:t>“</w:t>
      </w:r>
      <w:r>
        <w:rPr>
          <w:rFonts w:ascii="Times New Roman" w:hAnsi="Times New Roman" w:cs="Times New Roman"/>
          <w:color w:val="000000"/>
          <w:sz w:val="20"/>
        </w:rPr>
        <w:t>Registrant</w:t>
      </w:r>
      <w:r>
        <w:rPr>
          <w:rFonts w:ascii="Times New Roman" w:hAnsi="Times New Roman" w:cs="Times New Roman"/>
          <w:color w:val="000000"/>
          <w:sz w:val="20"/>
        </w:rPr>
        <w:t>”</w:t>
      </w:r>
      <w:r>
        <w:rPr>
          <w:rFonts w:ascii="Times New Roman" w:hAnsi="Times New Roman" w:cs="Times New Roman"/>
          <w:color w:val="000000"/>
          <w:sz w:val="20"/>
        </w:rPr>
        <w:t xml:space="preserve"> declining to approve a label that included a warning about glyphosate under Proposition 65, Californ</w:t>
      </w:r>
      <w:r>
        <w:rPr>
          <w:rFonts w:ascii="Times New Roman" w:hAnsi="Times New Roman" w:cs="Times New Roman"/>
          <w:color w:val="000000"/>
          <w:sz w:val="20"/>
        </w:rPr>
        <w:t>ia</w:t>
      </w:r>
      <w:r>
        <w:rPr>
          <w:rFonts w:ascii="Times New Roman" w:hAnsi="Times New Roman" w:cs="Times New Roman"/>
          <w:color w:val="000000"/>
          <w:sz w:val="20"/>
        </w:rPr>
        <w:t>’</w:t>
      </w:r>
      <w:r>
        <w:rPr>
          <w:rFonts w:ascii="Times New Roman" w:hAnsi="Times New Roman" w:cs="Times New Roman"/>
          <w:color w:val="000000"/>
          <w:sz w:val="20"/>
        </w:rPr>
        <w:t>s Safe Drinking Water and Toxic Enforcement Act of 1986 (</w:t>
      </w:r>
      <w:r>
        <w:rPr>
          <w:rFonts w:ascii="Times New Roman" w:hAnsi="Times New Roman" w:cs="Times New Roman"/>
          <w:color w:val="0000FF"/>
          <w:sz w:val="20"/>
        </w:rPr>
        <w:t>Health &amp; Saf. Code, § 25249.5 et seq.</w:t>
      </w:r>
      <w:r>
        <w:rPr>
          <w:rFonts w:ascii="Times New Roman" w:hAnsi="Times New Roman" w:cs="Times New Roman"/>
          <w:color w:val="000000"/>
          <w:sz w:val="20"/>
        </w:rPr>
        <w:t xml:space="preserve">). The letter states that since the EPA has determined that glyphosate is not likely to be carcinogenic to humans, any such warning would be </w:t>
      </w:r>
      <w:r>
        <w:rPr>
          <w:rFonts w:ascii="Times New Roman" w:hAnsi="Times New Roman" w:cs="Times New Roman"/>
          <w:color w:val="000000"/>
          <w:sz w:val="20"/>
        </w:rPr>
        <w:t>“</w:t>
      </w:r>
      <w:r>
        <w:rPr>
          <w:rFonts w:ascii="Times New Roman" w:hAnsi="Times New Roman" w:cs="Times New Roman"/>
          <w:color w:val="000000"/>
          <w:sz w:val="20"/>
        </w:rPr>
        <w:t>false and mislead</w:t>
      </w:r>
      <w:r>
        <w:rPr>
          <w:rFonts w:ascii="Times New Roman" w:hAnsi="Times New Roman" w:cs="Times New Roman"/>
          <w:color w:val="000000"/>
          <w:sz w:val="20"/>
        </w:rPr>
        <w:t>ing</w:t>
      </w:r>
      <w:r>
        <w:rPr>
          <w:rFonts w:ascii="Times New Roman" w:hAnsi="Times New Roman" w:cs="Times New Roman"/>
          <w:color w:val="000000"/>
          <w:sz w:val="20"/>
        </w:rPr>
        <w:t>”</w:t>
      </w:r>
      <w:r>
        <w:rPr>
          <w:rFonts w:ascii="Times New Roman" w:hAnsi="Times New Roman" w:cs="Times New Roman"/>
          <w:color w:val="000000"/>
          <w:sz w:val="20"/>
        </w:rPr>
        <w:t xml:space="preserve"> under FIFRA. (</w:t>
      </w:r>
      <w:r>
        <w:rPr>
          <w:rFonts w:ascii="Times New Roman" w:hAnsi="Times New Roman" w:cs="Times New Roman"/>
          <w:color w:val="0000FF"/>
          <w:sz w:val="20"/>
        </w:rPr>
        <w:t>7 U.S.C. § 136(q)(1)(A)</w:t>
      </w:r>
      <w:r>
        <w:rPr>
          <w:rFonts w:ascii="Times New Roman" w:hAnsi="Times New Roman" w:cs="Times New Roman"/>
          <w:color w:val="000000"/>
          <w:sz w:val="20"/>
        </w:rPr>
        <w:t>.) Lastly, Monsanto sought judicial notice of an amicus brief the United States has filed in its support in the Ninth Circuit. (</w:t>
      </w:r>
      <w:r>
        <w:rPr>
          <w:rFonts w:ascii="Times New Roman" w:hAnsi="Times New Roman" w:cs="Times New Roman"/>
          <w:i/>
          <w:color w:val="000000"/>
          <w:sz w:val="20"/>
        </w:rPr>
        <w:t>Monsanto Company v. Hardeman</w:t>
      </w:r>
      <w:r>
        <w:rPr>
          <w:rFonts w:ascii="Times New Roman" w:hAnsi="Times New Roman" w:cs="Times New Roman"/>
          <w:color w:val="000000"/>
          <w:sz w:val="20"/>
        </w:rPr>
        <w:t xml:space="preserve"> (9th Cir. No. 19-16636).) In that case, the federal gover</w:t>
      </w:r>
      <w:r>
        <w:rPr>
          <w:rFonts w:ascii="Times New Roman" w:hAnsi="Times New Roman" w:cs="Times New Roman"/>
          <w:color w:val="000000"/>
          <w:sz w:val="20"/>
        </w:rPr>
        <w:t xml:space="preserve">nment has taken the position that FIFRA preempts state tort claims that would subject pesticide manufacturers to what it characterizes as </w:t>
      </w:r>
      <w:r>
        <w:rPr>
          <w:rFonts w:ascii="Times New Roman" w:hAnsi="Times New Roman" w:cs="Times New Roman"/>
          <w:color w:val="000000"/>
          <w:sz w:val="20"/>
        </w:rPr>
        <w:t>“</w:t>
      </w:r>
      <w:r>
        <w:rPr>
          <w:rFonts w:ascii="Times New Roman" w:hAnsi="Times New Roman" w:cs="Times New Roman"/>
          <w:color w:val="000000"/>
          <w:sz w:val="20"/>
        </w:rPr>
        <w:t>inconsistent and additional product labeling requirements.</w:t>
      </w:r>
      <w:r>
        <w:rPr>
          <w:rFonts w:ascii="Times New Roman" w:hAnsi="Times New Roman" w:cs="Times New Roman"/>
          <w:color w:val="000000"/>
          <w:sz w:val="20"/>
        </w:rPr>
        <w:t>”</w:t>
      </w:r>
      <w:r>
        <w:rPr>
          <w:rFonts w:ascii="Times New Roman" w:hAnsi="Times New Roman" w:cs="Times New Roman"/>
          <w:color w:val="000000"/>
          <w:sz w:val="20"/>
        </w:rPr>
        <w:t xml:space="preserve"> Monsanto argues that this additional information shows no</w:t>
      </w:r>
      <w:r>
        <w:rPr>
          <w:rFonts w:ascii="Times New Roman" w:hAnsi="Times New Roman" w:cs="Times New Roman"/>
          <w:color w:val="000000"/>
          <w:sz w:val="20"/>
        </w:rPr>
        <w:t xml:space="preserve">t only that the EPA previously approved labels for Roundup products without </w:t>
      </w:r>
      <w:r>
        <w:rPr>
          <w:rFonts w:ascii="Times New Roman" w:hAnsi="Times New Roman" w:cs="Times New Roman"/>
          <w:color w:val="0000FF"/>
          <w:sz w:val="20"/>
        </w:rPr>
        <w:t>cancer</w:t>
      </w:r>
      <w:r>
        <w:rPr>
          <w:rFonts w:ascii="Times New Roman" w:hAnsi="Times New Roman" w:cs="Times New Roman"/>
          <w:color w:val="000000"/>
          <w:sz w:val="20"/>
        </w:rPr>
        <w:t xml:space="preserve"> warnings, but also constitutes clear evidence that the agency would not approve </w:t>
      </w:r>
      <w:r>
        <w:rPr>
          <w:rFonts w:ascii="Times New Roman" w:hAnsi="Times New Roman" w:cs="Times New Roman"/>
          <w:color w:val="0000FF"/>
          <w:sz w:val="20"/>
        </w:rPr>
        <w:t>cancer</w:t>
      </w:r>
      <w:r>
        <w:rPr>
          <w:rFonts w:ascii="Times New Roman" w:hAnsi="Times New Roman" w:cs="Times New Roman"/>
          <w:color w:val="000000"/>
          <w:sz w:val="20"/>
        </w:rPr>
        <w:t xml:space="preserve"> warnings for Roundup labels in the future.</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42" w:name="co_pp_sp_999_20_1"/>
      <w:bookmarkEnd w:id="42"/>
      <w:r>
        <w:rPr>
          <w:rFonts w:ascii="Times New Roman" w:hAnsi="Times New Roman" w:cs="Times New Roman"/>
          <w:b/>
          <w:color w:val="000000"/>
          <w:sz w:val="20"/>
        </w:rPr>
        <w:t>*20</w:t>
      </w:r>
      <w:r>
        <w:rPr>
          <w:rFonts w:ascii="Times New Roman" w:hAnsi="Times New Roman" w:cs="Times New Roman"/>
          <w:color w:val="000000"/>
          <w:sz w:val="20"/>
        </w:rPr>
        <w:t xml:space="preserve"> In </w:t>
      </w:r>
      <w:r>
        <w:rPr>
          <w:rFonts w:ascii="Times New Roman" w:hAnsi="Times New Roman" w:cs="Times New Roman"/>
          <w:color w:val="000000"/>
          <w:sz w:val="20"/>
        </w:rPr>
        <w:t>arguing that Johnson</w:t>
      </w:r>
      <w:r>
        <w:rPr>
          <w:rFonts w:ascii="Times New Roman" w:hAnsi="Times New Roman" w:cs="Times New Roman"/>
          <w:color w:val="000000"/>
          <w:sz w:val="20"/>
        </w:rPr>
        <w:t>’</w:t>
      </w:r>
      <w:r>
        <w:rPr>
          <w:rFonts w:ascii="Times New Roman" w:hAnsi="Times New Roman" w:cs="Times New Roman"/>
          <w:color w:val="000000"/>
          <w:sz w:val="20"/>
        </w:rPr>
        <w:t xml:space="preserve">s failure-to-warn causes are preempted because the EPA would not require a </w:t>
      </w:r>
      <w:r>
        <w:rPr>
          <w:rFonts w:ascii="Times New Roman" w:hAnsi="Times New Roman" w:cs="Times New Roman"/>
          <w:color w:val="0000FF"/>
          <w:sz w:val="20"/>
        </w:rPr>
        <w:t>cancer</w:t>
      </w:r>
      <w:r>
        <w:rPr>
          <w:rFonts w:ascii="Times New Roman" w:hAnsi="Times New Roman" w:cs="Times New Roman"/>
          <w:color w:val="000000"/>
          <w:sz w:val="20"/>
        </w:rPr>
        <w:t xml:space="preserve"> warning, Monsanto relies on </w:t>
      </w:r>
      <w:r>
        <w:rPr>
          <w:rFonts w:ascii="Times New Roman" w:hAnsi="Times New Roman" w:cs="Times New Roman"/>
          <w:i/>
          <w:color w:val="0000FF"/>
          <w:sz w:val="20"/>
        </w:rPr>
        <w:t>Wyeth</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555 U.S. 555</w:t>
      </w:r>
      <w:r>
        <w:rPr>
          <w:rFonts w:ascii="Times New Roman" w:hAnsi="Times New Roman" w:cs="Times New Roman"/>
          <w:color w:val="000000"/>
          <w:sz w:val="20"/>
        </w:rPr>
        <w:t xml:space="preserve">, a case involving the approval of a drug label by the Food and Drug Administration (FDA). In </w:t>
      </w:r>
      <w:r>
        <w:rPr>
          <w:rFonts w:ascii="Times New Roman" w:hAnsi="Times New Roman" w:cs="Times New Roman"/>
          <w:i/>
          <w:color w:val="000000"/>
          <w:sz w:val="20"/>
        </w:rPr>
        <w:t>Wyeth</w:t>
      </w:r>
      <w:r>
        <w:rPr>
          <w:rFonts w:ascii="Times New Roman" w:hAnsi="Times New Roman" w:cs="Times New Roman"/>
          <w:color w:val="000000"/>
          <w:sz w:val="20"/>
        </w:rPr>
        <w:t xml:space="preserve">, a Vermont jury found a drug manufacturer liable for failing to adequately warn of the danger that an injectable form of an antihistamine could cause irreversible </w:t>
      </w:r>
      <w:r>
        <w:rPr>
          <w:rFonts w:ascii="Times New Roman" w:hAnsi="Times New Roman" w:cs="Times New Roman"/>
          <w:color w:val="0000FF"/>
          <w:sz w:val="20"/>
        </w:rPr>
        <w:t>gangrene</w:t>
      </w:r>
      <w:r>
        <w:rPr>
          <w:rFonts w:ascii="Times New Roman" w:hAnsi="Times New Roman" w:cs="Times New Roman"/>
          <w:color w:val="000000"/>
          <w:sz w:val="20"/>
        </w:rPr>
        <w:t xml:space="preserve"> if administered in a certain way. (</w:t>
      </w:r>
      <w:r>
        <w:rPr>
          <w:rFonts w:ascii="Times New Roman" w:hAnsi="Times New Roman" w:cs="Times New Roman"/>
          <w:i/>
          <w:color w:val="0000FF"/>
          <w:sz w:val="20"/>
        </w:rPr>
        <w:t>Id.</w:t>
      </w:r>
      <w:r>
        <w:rPr>
          <w:rFonts w:ascii="Times New Roman" w:hAnsi="Times New Roman" w:cs="Times New Roman"/>
          <w:color w:val="0000FF"/>
          <w:sz w:val="20"/>
        </w:rPr>
        <w:t xml:space="preserve"> at pp. 558</w:t>
      </w:r>
      <w:r>
        <w:rPr>
          <w:rFonts w:ascii="Times New Roman" w:hAnsi="Times New Roman" w:cs="Times New Roman"/>
          <w:color w:val="0000FF"/>
          <w:sz w:val="20"/>
        </w:rPr>
        <w:t>–</w:t>
      </w:r>
      <w:r>
        <w:rPr>
          <w:rFonts w:ascii="Times New Roman" w:hAnsi="Times New Roman" w:cs="Times New Roman"/>
          <w:color w:val="0000FF"/>
          <w:sz w:val="20"/>
        </w:rPr>
        <w:t>559</w:t>
      </w:r>
      <w:r>
        <w:rPr>
          <w:rFonts w:ascii="Times New Roman" w:hAnsi="Times New Roman" w:cs="Times New Roman"/>
          <w:color w:val="000000"/>
          <w:sz w:val="20"/>
        </w:rPr>
        <w:t>.) The manufacturer appealed a</w:t>
      </w:r>
      <w:r>
        <w:rPr>
          <w:rFonts w:ascii="Times New Roman" w:hAnsi="Times New Roman" w:cs="Times New Roman"/>
          <w:color w:val="000000"/>
          <w:sz w:val="20"/>
        </w:rPr>
        <w:t>nd argued that the claim was barred because the FDA had approved the drug</w:t>
      </w:r>
      <w:r>
        <w:rPr>
          <w:rFonts w:ascii="Times New Roman" w:hAnsi="Times New Roman" w:cs="Times New Roman"/>
          <w:color w:val="000000"/>
          <w:sz w:val="20"/>
        </w:rPr>
        <w:t>’</w:t>
      </w:r>
      <w:r>
        <w:rPr>
          <w:rFonts w:ascii="Times New Roman" w:hAnsi="Times New Roman" w:cs="Times New Roman"/>
          <w:color w:val="000000"/>
          <w:sz w:val="20"/>
        </w:rPr>
        <w:t>s labeling under the Federal Food, Drug, and Cosmetic Act (</w:t>
      </w:r>
      <w:r>
        <w:rPr>
          <w:rFonts w:ascii="Times New Roman" w:hAnsi="Times New Roman" w:cs="Times New Roman"/>
          <w:color w:val="0000FF"/>
          <w:sz w:val="20"/>
        </w:rPr>
        <w:t>21 U.S.C. § 301 et seq.,</w:t>
      </w:r>
      <w:r>
        <w:rPr>
          <w:rFonts w:ascii="Times New Roman" w:hAnsi="Times New Roman" w:cs="Times New Roman"/>
          <w:color w:val="000000"/>
          <w:sz w:val="20"/>
        </w:rPr>
        <w:t xml:space="preserve"> FDCA). (</w:t>
      </w:r>
      <w:r>
        <w:rPr>
          <w:rFonts w:ascii="Times New Roman" w:hAnsi="Times New Roman" w:cs="Times New Roman"/>
          <w:i/>
          <w:color w:val="000000"/>
          <w:sz w:val="20"/>
        </w:rPr>
        <w:t>Wyeth</w:t>
      </w:r>
      <w:r>
        <w:rPr>
          <w:rFonts w:ascii="Times New Roman" w:hAnsi="Times New Roman" w:cs="Times New Roman"/>
          <w:color w:val="000000"/>
          <w:sz w:val="20"/>
        </w:rPr>
        <w:t>, at pp. 558</w:t>
      </w:r>
      <w:r>
        <w:rPr>
          <w:rFonts w:ascii="Times New Roman" w:hAnsi="Times New Roman" w:cs="Times New Roman"/>
          <w:color w:val="000000"/>
          <w:sz w:val="20"/>
        </w:rPr>
        <w:t>–</w:t>
      </w:r>
      <w:r>
        <w:rPr>
          <w:rFonts w:ascii="Times New Roman" w:hAnsi="Times New Roman" w:cs="Times New Roman"/>
          <w:color w:val="000000"/>
          <w:sz w:val="20"/>
        </w:rPr>
        <w:t>559.) The manufacturer argued that it thus would have been impossible to</w:t>
      </w:r>
      <w:r>
        <w:rPr>
          <w:rFonts w:ascii="Times New Roman" w:hAnsi="Times New Roman" w:cs="Times New Roman"/>
          <w:color w:val="000000"/>
          <w:sz w:val="20"/>
        </w:rPr>
        <w:t xml:space="preserve"> provide stronger warnings without violating federal law. (</w:t>
      </w:r>
      <w:r>
        <w:rPr>
          <w:rFonts w:ascii="Times New Roman" w:hAnsi="Times New Roman" w:cs="Times New Roman"/>
          <w:i/>
          <w:color w:val="0000FF"/>
          <w:sz w:val="20"/>
        </w:rPr>
        <w:t>Id.</w:t>
      </w:r>
      <w:r>
        <w:rPr>
          <w:rFonts w:ascii="Times New Roman" w:hAnsi="Times New Roman" w:cs="Times New Roman"/>
          <w:color w:val="0000FF"/>
          <w:sz w:val="20"/>
        </w:rPr>
        <w:t xml:space="preserve"> at pp. 568</w:t>
      </w:r>
      <w:r>
        <w:rPr>
          <w:rFonts w:ascii="Times New Roman" w:hAnsi="Times New Roman" w:cs="Times New Roman"/>
          <w:color w:val="0000FF"/>
          <w:sz w:val="20"/>
        </w:rPr>
        <w:t>–</w:t>
      </w:r>
      <w:r>
        <w:rPr>
          <w:rFonts w:ascii="Times New Roman" w:hAnsi="Times New Roman" w:cs="Times New Roman"/>
          <w:color w:val="0000FF"/>
          <w:sz w:val="20"/>
        </w:rPr>
        <w:t>569</w:t>
      </w:r>
      <w:r>
        <w:rPr>
          <w:rFonts w:ascii="Times New Roman" w:hAnsi="Times New Roman" w:cs="Times New Roman"/>
          <w:color w:val="000000"/>
          <w:sz w:val="20"/>
        </w:rPr>
        <w:t>.) The U.S. Supreme Court disagreed and held that the FDA</w:t>
      </w:r>
      <w:r>
        <w:rPr>
          <w:rFonts w:ascii="Times New Roman" w:hAnsi="Times New Roman" w:cs="Times New Roman"/>
          <w:color w:val="000000"/>
          <w:sz w:val="20"/>
        </w:rPr>
        <w:t>’</w:t>
      </w:r>
      <w:r>
        <w:rPr>
          <w:rFonts w:ascii="Times New Roman" w:hAnsi="Times New Roman" w:cs="Times New Roman"/>
          <w:color w:val="000000"/>
          <w:sz w:val="20"/>
        </w:rPr>
        <w:t>s approvals did not provide the manufacturer with a complete defense to the state tort claims. (</w:t>
      </w:r>
      <w:r>
        <w:rPr>
          <w:rFonts w:ascii="Times New Roman" w:hAnsi="Times New Roman" w:cs="Times New Roman"/>
          <w:i/>
          <w:color w:val="0000FF"/>
          <w:sz w:val="20"/>
        </w:rPr>
        <w:t>Id.</w:t>
      </w:r>
      <w:r>
        <w:rPr>
          <w:rFonts w:ascii="Times New Roman" w:hAnsi="Times New Roman" w:cs="Times New Roman"/>
          <w:color w:val="0000FF"/>
          <w:sz w:val="20"/>
        </w:rPr>
        <w:t xml:space="preserve"> at pp. 558</w:t>
      </w:r>
      <w:r>
        <w:rPr>
          <w:rFonts w:ascii="Times New Roman" w:hAnsi="Times New Roman" w:cs="Times New Roman"/>
          <w:color w:val="0000FF"/>
          <w:sz w:val="20"/>
        </w:rPr>
        <w:t>–</w:t>
      </w:r>
      <w:r>
        <w:rPr>
          <w:rFonts w:ascii="Times New Roman" w:hAnsi="Times New Roman" w:cs="Times New Roman"/>
          <w:color w:val="0000FF"/>
          <w:sz w:val="20"/>
        </w:rPr>
        <w:t>559</w:t>
      </w:r>
      <w:r>
        <w:rPr>
          <w:rFonts w:ascii="Times New Roman" w:hAnsi="Times New Roman" w:cs="Times New Roman"/>
          <w:color w:val="000000"/>
          <w:sz w:val="20"/>
        </w:rPr>
        <w:t xml:space="preserve">.) The </w:t>
      </w:r>
      <w:r>
        <w:rPr>
          <w:rFonts w:ascii="Times New Roman" w:hAnsi="Times New Roman" w:cs="Times New Roman"/>
          <w:color w:val="000000"/>
          <w:sz w:val="20"/>
        </w:rPr>
        <w:t xml:space="preserve">court held that </w:t>
      </w:r>
      <w:r>
        <w:rPr>
          <w:rFonts w:ascii="Times New Roman" w:hAnsi="Times New Roman" w:cs="Times New Roman"/>
          <w:color w:val="000000"/>
          <w:sz w:val="20"/>
        </w:rPr>
        <w:t>“</w:t>
      </w:r>
      <w:r>
        <w:rPr>
          <w:rFonts w:ascii="Times New Roman" w:hAnsi="Times New Roman" w:cs="Times New Roman"/>
          <w:color w:val="000000"/>
          <w:sz w:val="20"/>
        </w:rPr>
        <w:t>absent clear evidence that the FDA would not have approved a change to [the manufacturer</w:t>
      </w:r>
      <w:r>
        <w:rPr>
          <w:rFonts w:ascii="Times New Roman" w:hAnsi="Times New Roman" w:cs="Times New Roman"/>
          <w:color w:val="000000"/>
          <w:sz w:val="20"/>
        </w:rPr>
        <w:t>’</w:t>
      </w:r>
      <w:r>
        <w:rPr>
          <w:rFonts w:ascii="Times New Roman" w:hAnsi="Times New Roman" w:cs="Times New Roman"/>
          <w:color w:val="000000"/>
          <w:sz w:val="20"/>
        </w:rPr>
        <w:t>s] label,</w:t>
      </w:r>
      <w:r>
        <w:rPr>
          <w:rFonts w:ascii="Times New Roman" w:hAnsi="Times New Roman" w:cs="Times New Roman"/>
          <w:color w:val="000000"/>
          <w:sz w:val="20"/>
        </w:rPr>
        <w:t>”</w:t>
      </w:r>
      <w:r>
        <w:rPr>
          <w:rFonts w:ascii="Times New Roman" w:hAnsi="Times New Roman" w:cs="Times New Roman"/>
          <w:color w:val="000000"/>
          <w:sz w:val="20"/>
        </w:rPr>
        <w:t xml:space="preserve"> it would not conclude that it was impossible to comply with both federal and state requirements. (</w:t>
      </w:r>
      <w:r>
        <w:rPr>
          <w:rFonts w:ascii="Times New Roman" w:hAnsi="Times New Roman" w:cs="Times New Roman"/>
          <w:i/>
          <w:color w:val="0000FF"/>
          <w:sz w:val="20"/>
        </w:rPr>
        <w:t>Id.</w:t>
      </w:r>
      <w:r>
        <w:rPr>
          <w:rFonts w:ascii="Times New Roman" w:hAnsi="Times New Roman" w:cs="Times New Roman"/>
          <w:color w:val="0000FF"/>
          <w:sz w:val="20"/>
        </w:rPr>
        <w:t xml:space="preserve"> at p. 571</w:t>
      </w:r>
      <w:r>
        <w:rPr>
          <w:rFonts w:ascii="Times New Roman" w:hAnsi="Times New Roman" w:cs="Times New Roman"/>
          <w:color w:val="000000"/>
          <w:sz w:val="20"/>
        </w:rPr>
        <w:t xml:space="preserve">.) The trial court in these </w:t>
      </w:r>
      <w:r>
        <w:rPr>
          <w:rFonts w:ascii="Times New Roman" w:hAnsi="Times New Roman" w:cs="Times New Roman"/>
          <w:color w:val="000000"/>
          <w:sz w:val="20"/>
        </w:rPr>
        <w:t xml:space="preserve">proceedings concluded that </w:t>
      </w:r>
      <w:r>
        <w:rPr>
          <w:rFonts w:ascii="Times New Roman" w:hAnsi="Times New Roman" w:cs="Times New Roman"/>
          <w:i/>
          <w:color w:val="000000"/>
          <w:sz w:val="20"/>
        </w:rPr>
        <w:t>Wyeth</w:t>
      </w:r>
      <w:r>
        <w:rPr>
          <w:rFonts w:ascii="Times New Roman" w:hAnsi="Times New Roman" w:cs="Times New Roman"/>
          <w:color w:val="000000"/>
          <w:sz w:val="20"/>
        </w:rPr>
        <w:t xml:space="preserve"> does not apply here. It reasoned that </w:t>
      </w:r>
      <w:r>
        <w:rPr>
          <w:rFonts w:ascii="Times New Roman" w:hAnsi="Times New Roman" w:cs="Times New Roman"/>
          <w:color w:val="000000"/>
          <w:sz w:val="20"/>
        </w:rPr>
        <w:t>“</w:t>
      </w:r>
      <w:r>
        <w:rPr>
          <w:rFonts w:ascii="Times New Roman" w:hAnsi="Times New Roman" w:cs="Times New Roman"/>
          <w:color w:val="000000"/>
          <w:sz w:val="20"/>
        </w:rPr>
        <w:t xml:space="preserve">[a] fundamental premise of </w:t>
      </w:r>
      <w:r>
        <w:rPr>
          <w:rFonts w:ascii="Times New Roman" w:hAnsi="Times New Roman" w:cs="Times New Roman"/>
          <w:i/>
          <w:color w:val="000000"/>
          <w:sz w:val="20"/>
        </w:rPr>
        <w:t>Wyeth</w:t>
      </w:r>
      <w:r>
        <w:rPr>
          <w:rFonts w:ascii="Times New Roman" w:hAnsi="Times New Roman" w:cs="Times New Roman"/>
          <w:color w:val="000000"/>
          <w:sz w:val="20"/>
        </w:rPr>
        <w:t xml:space="preserve"> and its progeny is that the state cannot outlaw the sale of a prescription drug that has been approved by the FDA.</w:t>
      </w:r>
      <w:r>
        <w:rPr>
          <w:rFonts w:ascii="Times New Roman" w:hAnsi="Times New Roman" w:cs="Times New Roman"/>
          <w:color w:val="000000"/>
          <w:sz w:val="20"/>
        </w:rPr>
        <w:t>”</w:t>
      </w:r>
      <w:r>
        <w:rPr>
          <w:rFonts w:ascii="Times New Roman" w:hAnsi="Times New Roman" w:cs="Times New Roman"/>
          <w:color w:val="000000"/>
          <w:sz w:val="20"/>
        </w:rPr>
        <w:t xml:space="preserve"> By contrast here, FIFRA</w:t>
      </w:r>
      <w:r>
        <w:rPr>
          <w:rFonts w:ascii="Times New Roman" w:hAnsi="Times New Roman" w:cs="Times New Roman"/>
          <w:color w:val="000000"/>
          <w:sz w:val="20"/>
        </w:rPr>
        <w:t>’</w:t>
      </w:r>
      <w:r>
        <w:rPr>
          <w:rFonts w:ascii="Times New Roman" w:hAnsi="Times New Roman" w:cs="Times New Roman"/>
          <w:color w:val="000000"/>
          <w:sz w:val="20"/>
        </w:rPr>
        <w:t>s express p</w:t>
      </w:r>
      <w:r>
        <w:rPr>
          <w:rFonts w:ascii="Times New Roman" w:hAnsi="Times New Roman" w:cs="Times New Roman"/>
          <w:color w:val="000000"/>
          <w:sz w:val="20"/>
        </w:rPr>
        <w:t>reemption provision is limited to requirements for labeling or packaging that are in addition to or different from those required under FIFRA.</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16"/>
        </w:rPr>
      </w:pPr>
      <w:r>
        <w:rPr>
          <w:rFonts w:ascii="Times New Roman" w:hAnsi="Times New Roman" w:cs="Times New Roman"/>
          <w:color w:val="000000"/>
          <w:sz w:val="20"/>
        </w:rPr>
        <w:t xml:space="preserve">As the trial court observed, it does not appear that any court has yet applied the </w:t>
      </w:r>
      <w:r>
        <w:rPr>
          <w:rFonts w:ascii="Times New Roman" w:hAnsi="Times New Roman" w:cs="Times New Roman"/>
          <w:i/>
          <w:color w:val="000000"/>
          <w:sz w:val="20"/>
        </w:rPr>
        <w:t>Wyeth</w:t>
      </w:r>
      <w:r>
        <w:rPr>
          <w:rFonts w:ascii="Times New Roman" w:hAnsi="Times New Roman" w:cs="Times New Roman"/>
          <w:color w:val="000000"/>
          <w:sz w:val="20"/>
        </w:rPr>
        <w:t xml:space="preserve"> line of cases to FIFRA</w:t>
      </w:r>
      <w:r>
        <w:rPr>
          <w:rFonts w:ascii="Times New Roman" w:hAnsi="Times New Roman" w:cs="Times New Roman"/>
          <w:color w:val="000000"/>
          <w:sz w:val="20"/>
        </w:rPr>
        <w:t xml:space="preserve">. But such an application would mean that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clear evidence</w:t>
      </w:r>
      <w:r>
        <w:rPr>
          <w:rFonts w:ascii="Times New Roman" w:hAnsi="Times New Roman" w:cs="Times New Roman"/>
          <w:color w:val="000000"/>
          <w:sz w:val="20"/>
        </w:rPr>
        <w:t>’</w:t>
      </w:r>
      <w:r>
        <w:rPr>
          <w:rFonts w:ascii="Times New Roman" w:hAnsi="Times New Roman" w:cs="Times New Roman"/>
          <w:color w:val="000000"/>
          <w:sz w:val="20"/>
        </w:rPr>
        <w:t xml:space="preserve"> is evidence that shows the court that the [company] fully informed the [EPA] of the justifications for the warning required by state law and that the [EPA], in turn, informed the [company that it</w:t>
      </w:r>
      <w:r>
        <w:rPr>
          <w:rFonts w:ascii="Times New Roman" w:hAnsi="Times New Roman" w:cs="Times New Roman"/>
          <w:color w:val="000000"/>
          <w:sz w:val="20"/>
        </w:rPr>
        <w:t>] would not approve a change to the ... label to include that warning.</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Albrecht</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___ U.S. ___ [139 S.Ct. at p. 1672]</w:t>
      </w:r>
      <w:r>
        <w:rPr>
          <w:rFonts w:ascii="Times New Roman" w:hAnsi="Times New Roman" w:cs="Times New Roman"/>
          <w:color w:val="000000"/>
          <w:sz w:val="20"/>
        </w:rPr>
        <w:t>.)</w:t>
      </w:r>
      <w:bookmarkStart w:id="43" w:name="co_fnRef_B00042051484338_ID0E2CDI_1"/>
      <w:bookmarkEnd w:id="43"/>
      <w:r>
        <w:rPr>
          <w:rFonts w:ascii="Times New Roman" w:hAnsi="Times New Roman" w:cs="Times New Roman"/>
          <w:color w:val="0000FF"/>
          <w:sz w:val="16"/>
          <w:vertAlign w:val="superscript"/>
        </w:rPr>
        <w:t>3</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We agree with Monsanto that </w:t>
      </w:r>
      <w:r>
        <w:rPr>
          <w:rFonts w:ascii="Times New Roman" w:hAnsi="Times New Roman" w:cs="Times New Roman"/>
          <w:i/>
          <w:color w:val="000000"/>
          <w:sz w:val="20"/>
        </w:rPr>
        <w:t>Wyeth</w:t>
      </w:r>
      <w:r>
        <w:rPr>
          <w:rFonts w:ascii="Times New Roman" w:hAnsi="Times New Roman" w:cs="Times New Roman"/>
          <w:color w:val="000000"/>
          <w:sz w:val="20"/>
        </w:rPr>
        <w:t>’</w:t>
      </w:r>
      <w:r>
        <w:rPr>
          <w:rFonts w:ascii="Times New Roman" w:hAnsi="Times New Roman" w:cs="Times New Roman"/>
          <w:color w:val="000000"/>
          <w:sz w:val="20"/>
        </w:rPr>
        <w:t>s reasoning is applic</w:t>
      </w:r>
      <w:r>
        <w:rPr>
          <w:rFonts w:ascii="Times New Roman" w:hAnsi="Times New Roman" w:cs="Times New Roman"/>
          <w:color w:val="000000"/>
          <w:sz w:val="20"/>
        </w:rPr>
        <w:t>able under FIFRA. That is, a defendant may establish a preemption defense to a state failure-to-warn claim by providing clear evidence that the EPA would not have approved a label change. (</w:t>
      </w:r>
      <w:r>
        <w:rPr>
          <w:rFonts w:ascii="Times New Roman" w:hAnsi="Times New Roman" w:cs="Times New Roman"/>
          <w:i/>
          <w:color w:val="0000FF"/>
          <w:sz w:val="20"/>
        </w:rPr>
        <w:t>Wyeth</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xml:space="preserve">, 555 U.S. at </w:t>
      </w:r>
      <w:r>
        <w:rPr>
          <w:rFonts w:ascii="Times New Roman" w:hAnsi="Times New Roman" w:cs="Times New Roman"/>
          <w:color w:val="0000FF"/>
          <w:sz w:val="20"/>
        </w:rPr>
        <w:lastRenderedPageBreak/>
        <w:t>p. 571</w:t>
      </w:r>
      <w:r>
        <w:rPr>
          <w:rFonts w:ascii="Times New Roman" w:hAnsi="Times New Roman" w:cs="Times New Roman"/>
          <w:color w:val="000000"/>
          <w:sz w:val="20"/>
        </w:rPr>
        <w:t xml:space="preserve">.) At the same time, we agree with </w:t>
      </w:r>
      <w:r>
        <w:rPr>
          <w:rFonts w:ascii="Times New Roman" w:hAnsi="Times New Roman" w:cs="Times New Roman"/>
          <w:color w:val="000000"/>
          <w:sz w:val="20"/>
        </w:rPr>
        <w:t xml:space="preserve">Johnson that when Congress has expressly identified the intended scope of preemption, courts should infer that </w:t>
      </w:r>
      <w:r>
        <w:rPr>
          <w:rFonts w:ascii="Times New Roman" w:hAnsi="Times New Roman" w:cs="Times New Roman"/>
          <w:color w:val="000000"/>
          <w:sz w:val="20"/>
        </w:rPr>
        <w:t>“</w:t>
      </w:r>
      <w:r>
        <w:rPr>
          <w:rFonts w:ascii="Times New Roman" w:hAnsi="Times New Roman" w:cs="Times New Roman"/>
          <w:color w:val="000000"/>
          <w:sz w:val="20"/>
        </w:rPr>
        <w:t xml:space="preserve">Congress intended to preempt no more than that absent </w:t>
      </w:r>
      <w:r>
        <w:rPr>
          <w:rFonts w:ascii="Times New Roman" w:hAnsi="Times New Roman" w:cs="Times New Roman"/>
          <w:i/>
          <w:color w:val="000000"/>
          <w:sz w:val="20"/>
        </w:rPr>
        <w:t>sound</w:t>
      </w:r>
      <w:r>
        <w:rPr>
          <w:rFonts w:ascii="Times New Roman" w:hAnsi="Times New Roman" w:cs="Times New Roman"/>
          <w:color w:val="000000"/>
          <w:sz w:val="20"/>
        </w:rPr>
        <w:t xml:space="preserve"> contrary evidence.</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 xml:space="preserve">Viva! Internat. Voice for Animals v. Adidas Promotional Retail </w:t>
      </w:r>
      <w:r>
        <w:rPr>
          <w:rFonts w:ascii="Times New Roman" w:hAnsi="Times New Roman" w:cs="Times New Roman"/>
          <w:i/>
          <w:color w:val="0000FF"/>
          <w:sz w:val="20"/>
        </w:rPr>
        <w:t>Operations, Inc.</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41 Cal.4th at p. 945</w:t>
      </w:r>
      <w:r>
        <w:rPr>
          <w:rFonts w:ascii="Times New Roman" w:hAnsi="Times New Roman" w:cs="Times New Roman"/>
          <w:color w:val="000000"/>
          <w:sz w:val="20"/>
        </w:rPr>
        <w:t xml:space="preserve">, italics added.) But even where there is an express preemption clause, that clause </w:t>
      </w:r>
      <w:r>
        <w:rPr>
          <w:rFonts w:ascii="Times New Roman" w:hAnsi="Times New Roman" w:cs="Times New Roman"/>
          <w:color w:val="000000"/>
          <w:sz w:val="20"/>
        </w:rPr>
        <w:t>“</w:t>
      </w:r>
      <w:r>
        <w:rPr>
          <w:rFonts w:ascii="Times New Roman" w:hAnsi="Times New Roman" w:cs="Times New Roman"/>
          <w:color w:val="000000"/>
          <w:sz w:val="20"/>
        </w:rPr>
        <w:t xml:space="preserve">does not </w:t>
      </w:r>
      <w:r>
        <w:rPr>
          <w:rFonts w:ascii="Times New Roman" w:hAnsi="Times New Roman" w:cs="Times New Roman"/>
          <w:color w:val="000000"/>
          <w:sz w:val="20"/>
        </w:rPr>
        <w:t>‘</w:t>
      </w:r>
      <w:r>
        <w:rPr>
          <w:rFonts w:ascii="Times New Roman" w:hAnsi="Times New Roman" w:cs="Times New Roman"/>
          <w:color w:val="000000"/>
          <w:sz w:val="20"/>
        </w:rPr>
        <w:t>entirely foreclose[ ] any possibility of implied pre-emption.</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Id.</w:t>
      </w:r>
      <w:r>
        <w:rPr>
          <w:rFonts w:ascii="Times New Roman" w:hAnsi="Times New Roman" w:cs="Times New Roman"/>
          <w:color w:val="0000FF"/>
          <w:sz w:val="20"/>
        </w:rPr>
        <w:t xml:space="preserve"> at p. 944</w:t>
      </w:r>
      <w:r>
        <w:rPr>
          <w:rFonts w:ascii="Times New Roman" w:hAnsi="Times New Roman" w:cs="Times New Roman"/>
          <w:color w:val="000000"/>
          <w:sz w:val="20"/>
        </w:rPr>
        <w:t xml:space="preserve">, quoting </w:t>
      </w:r>
      <w:r>
        <w:rPr>
          <w:rFonts w:ascii="Times New Roman" w:hAnsi="Times New Roman" w:cs="Times New Roman"/>
          <w:i/>
          <w:color w:val="0000FF"/>
          <w:sz w:val="20"/>
        </w:rPr>
        <w:t>Freightliner Corp. v. Myric</w:t>
      </w:r>
      <w:r>
        <w:rPr>
          <w:rFonts w:ascii="Times New Roman" w:hAnsi="Times New Roman" w:cs="Times New Roman"/>
          <w:i/>
          <w:color w:val="0000FF"/>
          <w:sz w:val="20"/>
        </w:rPr>
        <w:t>k</w:t>
      </w:r>
      <w:r>
        <w:rPr>
          <w:rFonts w:ascii="Times New Roman" w:hAnsi="Times New Roman" w:cs="Times New Roman"/>
          <w:color w:val="0000FF"/>
          <w:sz w:val="20"/>
        </w:rPr>
        <w:t xml:space="preserve"> (1995) 514 U.S. 280, 288</w:t>
      </w:r>
      <w:r>
        <w:rPr>
          <w:rFonts w:ascii="Times New Roman" w:hAnsi="Times New Roman" w:cs="Times New Roman"/>
          <w:color w:val="000000"/>
          <w:sz w:val="20"/>
        </w:rPr>
        <w:t xml:space="preserve">.) This is consistent with </w:t>
      </w:r>
      <w:r>
        <w:rPr>
          <w:rFonts w:ascii="Times New Roman" w:hAnsi="Times New Roman" w:cs="Times New Roman"/>
          <w:i/>
          <w:color w:val="000000"/>
          <w:sz w:val="20"/>
        </w:rPr>
        <w:t>Bates</w:t>
      </w:r>
      <w:r>
        <w:rPr>
          <w:rFonts w:ascii="Times New Roman" w:hAnsi="Times New Roman" w:cs="Times New Roman"/>
          <w:color w:val="000000"/>
          <w:sz w:val="20"/>
        </w:rPr>
        <w:t xml:space="preserve">, which </w:t>
      </w:r>
      <w:r>
        <w:rPr>
          <w:rFonts w:ascii="Times New Roman" w:hAnsi="Times New Roman" w:cs="Times New Roman"/>
          <w:color w:val="000000"/>
          <w:sz w:val="20"/>
        </w:rPr>
        <w:t>“</w:t>
      </w:r>
      <w:r>
        <w:rPr>
          <w:rFonts w:ascii="Times New Roman" w:hAnsi="Times New Roman" w:cs="Times New Roman"/>
          <w:color w:val="000000"/>
          <w:sz w:val="20"/>
        </w:rPr>
        <w:t>emphasize[d] that a state-law labeling requirement must in fact be equivalent to a requirement under FIFRA in order to survive pre-emption.</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Bates</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544 U.S. at p. 453</w:t>
      </w:r>
      <w:r>
        <w:rPr>
          <w:rFonts w:ascii="Times New Roman" w:hAnsi="Times New Roman" w:cs="Times New Roman"/>
          <w:color w:val="000000"/>
          <w:sz w:val="20"/>
        </w:rPr>
        <w:t>.) And, as we d</w:t>
      </w:r>
      <w:r>
        <w:rPr>
          <w:rFonts w:ascii="Times New Roman" w:hAnsi="Times New Roman" w:cs="Times New Roman"/>
          <w:color w:val="000000"/>
          <w:sz w:val="20"/>
        </w:rPr>
        <w:t xml:space="preserve">iscussed earlier, it noted that if a failure-to-warn claim alleged that a given pesticide should have stated </w:t>
      </w:r>
      <w:r>
        <w:rPr>
          <w:rFonts w:ascii="Times New Roman" w:hAnsi="Times New Roman" w:cs="Times New Roman"/>
          <w:color w:val="000000"/>
          <w:sz w:val="20"/>
        </w:rPr>
        <w:t>“</w:t>
      </w:r>
      <w:r>
        <w:rPr>
          <w:rFonts w:ascii="Times New Roman" w:hAnsi="Times New Roman" w:cs="Times New Roman"/>
          <w:color w:val="000000"/>
          <w:sz w:val="20"/>
        </w:rPr>
        <w:t>DANGER</w:t>
      </w:r>
      <w:r>
        <w:rPr>
          <w:rFonts w:ascii="Times New Roman" w:hAnsi="Times New Roman" w:cs="Times New Roman"/>
          <w:color w:val="000000"/>
          <w:sz w:val="20"/>
        </w:rPr>
        <w:t>”</w:t>
      </w:r>
      <w:r>
        <w:rPr>
          <w:rFonts w:ascii="Times New Roman" w:hAnsi="Times New Roman" w:cs="Times New Roman"/>
          <w:color w:val="000000"/>
          <w:sz w:val="20"/>
        </w:rPr>
        <w:t xml:space="preserve"> instead of </w:t>
      </w:r>
      <w:r>
        <w:rPr>
          <w:rFonts w:ascii="Times New Roman" w:hAnsi="Times New Roman" w:cs="Times New Roman"/>
          <w:color w:val="000000"/>
          <w:sz w:val="20"/>
        </w:rPr>
        <w:t>“</w:t>
      </w:r>
      <w:r>
        <w:rPr>
          <w:rFonts w:ascii="Times New Roman" w:hAnsi="Times New Roman" w:cs="Times New Roman"/>
          <w:color w:val="000000"/>
          <w:sz w:val="20"/>
        </w:rPr>
        <w:t>CAUTION</w:t>
      </w:r>
      <w:r>
        <w:rPr>
          <w:rFonts w:ascii="Times New Roman" w:hAnsi="Times New Roman" w:cs="Times New Roman"/>
          <w:color w:val="000000"/>
          <w:sz w:val="20"/>
        </w:rPr>
        <w:t>”</w:t>
      </w:r>
      <w:r>
        <w:rPr>
          <w:rFonts w:ascii="Times New Roman" w:hAnsi="Times New Roman" w:cs="Times New Roman"/>
          <w:color w:val="000000"/>
          <w:sz w:val="20"/>
        </w:rPr>
        <w:t xml:space="preserve"> as required under a federal regulation, the claim would be preempted. (</w:t>
      </w:r>
      <w:r>
        <w:rPr>
          <w:rFonts w:ascii="Times New Roman" w:hAnsi="Times New Roman" w:cs="Times New Roman"/>
          <w:i/>
          <w:color w:val="000000"/>
          <w:sz w:val="20"/>
        </w:rPr>
        <w:t>Ibid.</w:t>
      </w:r>
      <w:r>
        <w:rPr>
          <w:rFonts w:ascii="Times New Roman" w:hAnsi="Times New Roman" w:cs="Times New Roman"/>
          <w:color w:val="000000"/>
          <w:sz w:val="20"/>
        </w:rPr>
        <w:t xml:space="preserve">) In other words, it would be impossible </w:t>
      </w:r>
      <w:r>
        <w:rPr>
          <w:rFonts w:ascii="Times New Roman" w:hAnsi="Times New Roman" w:cs="Times New Roman"/>
          <w:color w:val="000000"/>
          <w:sz w:val="20"/>
        </w:rPr>
        <w:t xml:space="preserve">under those circumstances to comply with both state and federal law. Although Monsanto does not point to any federal regulation that a </w:t>
      </w:r>
      <w:r>
        <w:rPr>
          <w:rFonts w:ascii="Times New Roman" w:hAnsi="Times New Roman" w:cs="Times New Roman"/>
          <w:color w:val="0000FF"/>
          <w:sz w:val="20"/>
        </w:rPr>
        <w:t>cancer</w:t>
      </w:r>
      <w:r>
        <w:rPr>
          <w:rFonts w:ascii="Times New Roman" w:hAnsi="Times New Roman" w:cs="Times New Roman"/>
          <w:color w:val="000000"/>
          <w:sz w:val="20"/>
        </w:rPr>
        <w:t xml:space="preserve"> warning would violate, it has pointed to evidence that arguably would support an impossibility defense.</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Both sid</w:t>
      </w:r>
      <w:r>
        <w:rPr>
          <w:rFonts w:ascii="Times New Roman" w:hAnsi="Times New Roman" w:cs="Times New Roman"/>
          <w:color w:val="000000"/>
          <w:sz w:val="20"/>
        </w:rPr>
        <w:t>es take the position that this court should decide in the first instance whether FIFRA preempts Johnson</w:t>
      </w:r>
      <w:r>
        <w:rPr>
          <w:rFonts w:ascii="Times New Roman" w:hAnsi="Times New Roman" w:cs="Times New Roman"/>
          <w:color w:val="000000"/>
          <w:sz w:val="20"/>
        </w:rPr>
        <w:t>’</w:t>
      </w:r>
      <w:r>
        <w:rPr>
          <w:rFonts w:ascii="Times New Roman" w:hAnsi="Times New Roman" w:cs="Times New Roman"/>
          <w:color w:val="000000"/>
          <w:sz w:val="20"/>
        </w:rPr>
        <w:t>s failure-to-warn causes of action based on the record and additional evidence the parties have presented to this court. On the record before us, we can</w:t>
      </w:r>
      <w:r>
        <w:rPr>
          <w:rFonts w:ascii="Times New Roman" w:hAnsi="Times New Roman" w:cs="Times New Roman"/>
          <w:color w:val="000000"/>
          <w:sz w:val="20"/>
        </w:rPr>
        <w:t>not conclude that Monsanto has established a preemption defense based on the notion that the EPA would not have approved a label change that warned of the Roundup products</w:t>
      </w:r>
      <w:r>
        <w:rPr>
          <w:rFonts w:ascii="Times New Roman" w:hAnsi="Times New Roman" w:cs="Times New Roman"/>
          <w:color w:val="000000"/>
          <w:sz w:val="20"/>
        </w:rPr>
        <w:t>’</w:t>
      </w:r>
      <w:r>
        <w:rPr>
          <w:rFonts w:ascii="Times New Roman" w:hAnsi="Times New Roman" w:cs="Times New Roman"/>
          <w:color w:val="000000"/>
          <w:sz w:val="20"/>
        </w:rPr>
        <w:t xml:space="preserve"> potential link to </w:t>
      </w:r>
      <w:r>
        <w:rPr>
          <w:rFonts w:ascii="Times New Roman" w:hAnsi="Times New Roman" w:cs="Times New Roman"/>
          <w:color w:val="0000FF"/>
          <w:sz w:val="20"/>
        </w:rPr>
        <w:t>cancer</w:t>
      </w:r>
      <w:r>
        <w:rPr>
          <w:rFonts w:ascii="Times New Roman" w:hAnsi="Times New Roman" w:cs="Times New Roman"/>
          <w:color w:val="000000"/>
          <w:sz w:val="20"/>
        </w:rPr>
        <w:t xml:space="preserve">. </w:t>
      </w:r>
      <w:r>
        <w:rPr>
          <w:rFonts w:ascii="Times New Roman" w:hAnsi="Times New Roman" w:cs="Times New Roman"/>
          <w:i/>
          <w:color w:val="000000"/>
          <w:sz w:val="20"/>
        </w:rPr>
        <w:t>Albrecht</w:t>
      </w:r>
      <w:r>
        <w:rPr>
          <w:rFonts w:ascii="Times New Roman" w:hAnsi="Times New Roman" w:cs="Times New Roman"/>
          <w:color w:val="000000"/>
          <w:sz w:val="20"/>
        </w:rPr>
        <w:t xml:space="preserve"> emphasized that although the question of impossibility preemption is one for the court and not for a jury, </w:t>
      </w:r>
      <w:r>
        <w:rPr>
          <w:rFonts w:ascii="Times New Roman" w:hAnsi="Times New Roman" w:cs="Times New Roman"/>
          <w:color w:val="000000"/>
          <w:sz w:val="20"/>
        </w:rPr>
        <w:t>“</w:t>
      </w:r>
      <w:r>
        <w:rPr>
          <w:rFonts w:ascii="Times New Roman" w:hAnsi="Times New Roman" w:cs="Times New Roman"/>
          <w:color w:val="000000"/>
          <w:sz w:val="20"/>
        </w:rPr>
        <w:t>sometimes contested brute facts will prove relevant to a court</w:t>
      </w:r>
      <w:r>
        <w:rPr>
          <w:rFonts w:ascii="Times New Roman" w:hAnsi="Times New Roman" w:cs="Times New Roman"/>
          <w:color w:val="000000"/>
          <w:sz w:val="20"/>
        </w:rPr>
        <w:t>’</w:t>
      </w:r>
      <w:r>
        <w:rPr>
          <w:rFonts w:ascii="Times New Roman" w:hAnsi="Times New Roman" w:cs="Times New Roman"/>
          <w:color w:val="000000"/>
          <w:sz w:val="20"/>
        </w:rPr>
        <w:t>s legal determination about the meaning and effect of an agency decision.</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Albrecht</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__ U.S. __ [139 S.Ct. at p. 1680]</w:t>
      </w:r>
      <w:r>
        <w:rPr>
          <w:rFonts w:ascii="Times New Roman" w:hAnsi="Times New Roman" w:cs="Times New Roman"/>
          <w:color w:val="000000"/>
          <w:sz w:val="20"/>
        </w:rPr>
        <w:t>.) The legal determination may involve questions of whether all material information was submitted to the agency (here, the EPA) and the nature and scope of the agency</w:t>
      </w:r>
      <w:r>
        <w:rPr>
          <w:rFonts w:ascii="Times New Roman" w:hAnsi="Times New Roman" w:cs="Times New Roman"/>
          <w:color w:val="000000"/>
          <w:sz w:val="20"/>
        </w:rPr>
        <w:t>’</w:t>
      </w:r>
      <w:r>
        <w:rPr>
          <w:rFonts w:ascii="Times New Roman" w:hAnsi="Times New Roman" w:cs="Times New Roman"/>
          <w:color w:val="000000"/>
          <w:sz w:val="20"/>
        </w:rPr>
        <w:t>s determination. (</w:t>
      </w:r>
      <w:r>
        <w:rPr>
          <w:rFonts w:ascii="Times New Roman" w:hAnsi="Times New Roman" w:cs="Times New Roman"/>
          <w:i/>
          <w:color w:val="000000"/>
          <w:sz w:val="20"/>
        </w:rPr>
        <w:t>Ibid.</w:t>
      </w:r>
      <w:r>
        <w:rPr>
          <w:rFonts w:ascii="Times New Roman" w:hAnsi="Times New Roman" w:cs="Times New Roman"/>
          <w:color w:val="000000"/>
          <w:sz w:val="20"/>
        </w:rPr>
        <w:t>) These do not strike u</w:t>
      </w:r>
      <w:r>
        <w:rPr>
          <w:rFonts w:ascii="Times New Roman" w:hAnsi="Times New Roman" w:cs="Times New Roman"/>
          <w:color w:val="000000"/>
          <w:sz w:val="20"/>
        </w:rPr>
        <w:t>s as factual determinations best made for the first time on appeal, especially since the EPA</w:t>
      </w:r>
      <w:r>
        <w:rPr>
          <w:rFonts w:ascii="Times New Roman" w:hAnsi="Times New Roman" w:cs="Times New Roman"/>
          <w:color w:val="000000"/>
          <w:sz w:val="20"/>
        </w:rPr>
        <w:t>’</w:t>
      </w:r>
      <w:r>
        <w:rPr>
          <w:rFonts w:ascii="Times New Roman" w:hAnsi="Times New Roman" w:cs="Times New Roman"/>
          <w:color w:val="000000"/>
          <w:sz w:val="20"/>
        </w:rPr>
        <w:t>s position on glyphosate labeling appears to be evolving. Moreover, even if the EPA has taken or could take action regarding glyphosate making it impossible to com</w:t>
      </w:r>
      <w:r>
        <w:rPr>
          <w:rFonts w:ascii="Times New Roman" w:hAnsi="Times New Roman" w:cs="Times New Roman"/>
          <w:color w:val="000000"/>
          <w:sz w:val="20"/>
        </w:rPr>
        <w:t>ply with both its labeling determination and state requirements, a California court may need to consider the effect of Proposition 65, which was not litigated below in connection with preemption or addressed in the parties</w:t>
      </w:r>
      <w:r>
        <w:rPr>
          <w:rFonts w:ascii="Times New Roman" w:hAnsi="Times New Roman" w:cs="Times New Roman"/>
          <w:color w:val="000000"/>
          <w:sz w:val="20"/>
        </w:rPr>
        <w:t>’</w:t>
      </w:r>
      <w:r>
        <w:rPr>
          <w:rFonts w:ascii="Times New Roman" w:hAnsi="Times New Roman" w:cs="Times New Roman"/>
          <w:color w:val="000000"/>
          <w:sz w:val="20"/>
        </w:rPr>
        <w:t xml:space="preserve"> appellate briefs.</w:t>
      </w:r>
      <w:bookmarkStart w:id="44" w:name="co_fnRef_B00052051484338_ID0ENLDI_1"/>
      <w:bookmarkEnd w:id="44"/>
      <w:r>
        <w:rPr>
          <w:rFonts w:ascii="Times New Roman" w:hAnsi="Times New Roman" w:cs="Times New Roman"/>
          <w:color w:val="0000FF"/>
          <w:sz w:val="16"/>
          <w:vertAlign w:val="superscript"/>
        </w:rPr>
        <w:t>4</w:t>
      </w:r>
      <w:r>
        <w:rPr>
          <w:rFonts w:ascii="Times New Roman" w:hAnsi="Times New Roman" w:cs="Times New Roman"/>
          <w:color w:val="000000"/>
          <w:sz w:val="20"/>
        </w:rPr>
        <w:t xml:space="preserve"> Even before </w:t>
      </w:r>
      <w:r>
        <w:rPr>
          <w:rFonts w:ascii="Times New Roman" w:hAnsi="Times New Roman" w:cs="Times New Roman"/>
          <w:i/>
          <w:color w:val="000000"/>
          <w:sz w:val="20"/>
        </w:rPr>
        <w:t>Bates</w:t>
      </w:r>
      <w:r>
        <w:rPr>
          <w:rFonts w:ascii="Times New Roman" w:hAnsi="Times New Roman" w:cs="Times New Roman"/>
          <w:color w:val="000000"/>
          <w:sz w:val="20"/>
        </w:rPr>
        <w:t xml:space="preserve"> concluded that failure-to-warn claims are not necessarily preempted, </w:t>
      </w:r>
      <w:r>
        <w:rPr>
          <w:rFonts w:ascii="Times New Roman" w:hAnsi="Times New Roman" w:cs="Times New Roman"/>
          <w:i/>
          <w:color w:val="000000"/>
          <w:sz w:val="20"/>
        </w:rPr>
        <w:t>Etcheverry</w:t>
      </w:r>
      <w:r>
        <w:rPr>
          <w:rFonts w:ascii="Times New Roman" w:hAnsi="Times New Roman" w:cs="Times New Roman"/>
          <w:color w:val="000000"/>
          <w:sz w:val="20"/>
        </w:rPr>
        <w:t xml:space="preserve"> held open the possibility that FIFRA may not preempt failure-to-warn </w:t>
      </w:r>
      <w:r>
        <w:rPr>
          <w:rFonts w:ascii="Times New Roman" w:hAnsi="Times New Roman" w:cs="Times New Roman"/>
          <w:color w:val="000000"/>
          <w:sz w:val="20"/>
        </w:rPr>
        <w:t>claims not involving product lab</w:t>
      </w:r>
      <w:r>
        <w:rPr>
          <w:rFonts w:ascii="Times New Roman" w:hAnsi="Times New Roman" w:cs="Times New Roman"/>
          <w:color w:val="000000"/>
          <w:sz w:val="20"/>
        </w:rPr>
        <w:t xml:space="preserve">els (e.g., point-of-sale warnings required under Proposition 65). (See </w:t>
      </w:r>
      <w:r>
        <w:rPr>
          <w:rFonts w:ascii="Times New Roman" w:hAnsi="Times New Roman" w:cs="Times New Roman"/>
          <w:i/>
          <w:color w:val="0000FF"/>
          <w:sz w:val="20"/>
        </w:rPr>
        <w:t>Etcheverry</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22 Cal.4th at p. 337</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Where off-label statements address matters outside the scope of the label, an action may well lie.</w:t>
      </w:r>
      <w:r>
        <w:rPr>
          <w:rFonts w:ascii="Times New Roman" w:hAnsi="Times New Roman" w:cs="Times New Roman"/>
          <w:color w:val="000000"/>
          <w:sz w:val="20"/>
        </w:rPr>
        <w:t>”</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45" w:name="co_pp_sp_999_21_1"/>
      <w:bookmarkEnd w:id="45"/>
      <w:r>
        <w:rPr>
          <w:rFonts w:ascii="Times New Roman" w:hAnsi="Times New Roman" w:cs="Times New Roman"/>
          <w:b/>
          <w:color w:val="000000"/>
          <w:sz w:val="20"/>
        </w:rPr>
        <w:t>*21</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Impossibility pre-emption is a </w:t>
      </w:r>
      <w:r>
        <w:rPr>
          <w:rFonts w:ascii="Times New Roman" w:hAnsi="Times New Roman" w:cs="Times New Roman"/>
          <w:i/>
          <w:color w:val="000000"/>
          <w:sz w:val="20"/>
        </w:rPr>
        <w:t>demanding defense</w:t>
      </w:r>
      <w:r>
        <w:rPr>
          <w:rFonts w:ascii="Times New Roman" w:hAnsi="Times New Roman" w:cs="Times New Roman"/>
          <w:color w:val="000000"/>
          <w:sz w:val="20"/>
        </w:rPr>
        <w:t>.</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Wyeth</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555 U.S. at p. 573</w:t>
      </w:r>
      <w:r>
        <w:rPr>
          <w:rFonts w:ascii="Times New Roman" w:hAnsi="Times New Roman" w:cs="Times New Roman"/>
          <w:color w:val="000000"/>
          <w:sz w:val="20"/>
        </w:rPr>
        <w:t xml:space="preserve">, italics added.) This was illustrated recently when the Second Appellate District decided </w:t>
      </w:r>
      <w:r>
        <w:rPr>
          <w:rFonts w:ascii="Times New Roman" w:hAnsi="Times New Roman" w:cs="Times New Roman"/>
          <w:i/>
          <w:color w:val="0000FF"/>
          <w:sz w:val="20"/>
        </w:rPr>
        <w:t>Risperdal &amp; Invega Cases</w:t>
      </w:r>
      <w:r>
        <w:rPr>
          <w:rFonts w:ascii="Times New Roman" w:hAnsi="Times New Roman" w:cs="Times New Roman"/>
          <w:color w:val="0000FF"/>
          <w:sz w:val="20"/>
        </w:rPr>
        <w:t xml:space="preserve"> (2020) 49 Cal.App.5th 942</w:t>
      </w:r>
      <w:r>
        <w:rPr>
          <w:rFonts w:ascii="Times New Roman" w:hAnsi="Times New Roman" w:cs="Times New Roman"/>
          <w:color w:val="000000"/>
          <w:sz w:val="20"/>
        </w:rPr>
        <w:t>. There, the trial court grant</w:t>
      </w:r>
      <w:r>
        <w:rPr>
          <w:rFonts w:ascii="Times New Roman" w:hAnsi="Times New Roman" w:cs="Times New Roman"/>
          <w:color w:val="000000"/>
          <w:sz w:val="20"/>
        </w:rPr>
        <w:t>ed summary judgment to a drug manufacturer on preemption grounds in a case where plaintiffs alleged inadequate warnings on an antipsychotic medication, but the appellate court reversed. (</w:t>
      </w:r>
      <w:r>
        <w:rPr>
          <w:rFonts w:ascii="Times New Roman" w:hAnsi="Times New Roman" w:cs="Times New Roman"/>
          <w:i/>
          <w:color w:val="0000FF"/>
          <w:sz w:val="20"/>
        </w:rPr>
        <w:t>Id.</w:t>
      </w:r>
      <w:r>
        <w:rPr>
          <w:rFonts w:ascii="Times New Roman" w:hAnsi="Times New Roman" w:cs="Times New Roman"/>
          <w:color w:val="0000FF"/>
          <w:sz w:val="20"/>
        </w:rPr>
        <w:t xml:space="preserve"> at pp. 946, 954</w:t>
      </w:r>
      <w:r>
        <w:rPr>
          <w:rFonts w:ascii="Times New Roman" w:hAnsi="Times New Roman" w:cs="Times New Roman"/>
          <w:color w:val="000000"/>
          <w:sz w:val="20"/>
        </w:rPr>
        <w:t xml:space="preserve">.) The court acknowledged that under </w:t>
      </w:r>
      <w:r>
        <w:rPr>
          <w:rFonts w:ascii="Times New Roman" w:hAnsi="Times New Roman" w:cs="Times New Roman"/>
          <w:i/>
          <w:color w:val="0000FF"/>
          <w:sz w:val="20"/>
        </w:rPr>
        <w:t>Albrecht</w:t>
      </w:r>
      <w:r>
        <w:rPr>
          <w:rFonts w:ascii="Times New Roman" w:hAnsi="Times New Roman" w:cs="Times New Roman"/>
          <w:color w:val="0000FF"/>
          <w:sz w:val="20"/>
        </w:rPr>
        <w:t xml:space="preserve">, </w:t>
      </w:r>
      <w:r>
        <w:rPr>
          <w:rFonts w:ascii="Times New Roman" w:hAnsi="Times New Roman" w:cs="Times New Roman"/>
          <w:i/>
          <w:color w:val="0000FF"/>
          <w:sz w:val="20"/>
        </w:rPr>
        <w:t>sup</w:t>
      </w:r>
      <w:r>
        <w:rPr>
          <w:rFonts w:ascii="Times New Roman" w:hAnsi="Times New Roman" w:cs="Times New Roman"/>
          <w:i/>
          <w:color w:val="0000FF"/>
          <w:sz w:val="20"/>
        </w:rPr>
        <w:t>ra</w:t>
      </w:r>
      <w:r>
        <w:rPr>
          <w:rFonts w:ascii="Times New Roman" w:hAnsi="Times New Roman" w:cs="Times New Roman"/>
          <w:color w:val="0000FF"/>
          <w:sz w:val="20"/>
        </w:rPr>
        <w:t>, __ U.S. __ [139 S.Ct. 1668]</w:t>
      </w:r>
      <w:r>
        <w:rPr>
          <w:rFonts w:ascii="Times New Roman" w:hAnsi="Times New Roman" w:cs="Times New Roman"/>
          <w:color w:val="000000"/>
          <w:sz w:val="20"/>
        </w:rPr>
        <w:t>, the issue is decided as a matter of law. (</w:t>
      </w:r>
      <w:r>
        <w:rPr>
          <w:rFonts w:ascii="Times New Roman" w:hAnsi="Times New Roman" w:cs="Times New Roman"/>
          <w:i/>
          <w:color w:val="000000"/>
          <w:sz w:val="20"/>
        </w:rPr>
        <w:t>Risperdal &amp; Invega Cases</w:t>
      </w:r>
      <w:r>
        <w:rPr>
          <w:rFonts w:ascii="Times New Roman" w:hAnsi="Times New Roman" w:cs="Times New Roman"/>
          <w:color w:val="000000"/>
          <w:sz w:val="20"/>
        </w:rPr>
        <w:t>, at pp. 953</w:t>
      </w:r>
      <w:r>
        <w:rPr>
          <w:rFonts w:ascii="Times New Roman" w:hAnsi="Times New Roman" w:cs="Times New Roman"/>
          <w:color w:val="000000"/>
          <w:sz w:val="20"/>
        </w:rPr>
        <w:t>–</w:t>
      </w:r>
      <w:r>
        <w:rPr>
          <w:rFonts w:ascii="Times New Roman" w:hAnsi="Times New Roman" w:cs="Times New Roman"/>
          <w:color w:val="000000"/>
          <w:sz w:val="20"/>
        </w:rPr>
        <w:t>954.) But after considering all the evidence that it would have been impossible to comply with both state and federal law</w:t>
      </w:r>
      <w:r>
        <w:rPr>
          <w:rFonts w:ascii="Times New Roman" w:hAnsi="Times New Roman" w:cs="Times New Roman"/>
          <w:color w:val="000000"/>
          <w:sz w:val="20"/>
        </w:rPr>
        <w:t>—</w:t>
      </w:r>
      <w:r>
        <w:rPr>
          <w:rFonts w:ascii="Times New Roman" w:hAnsi="Times New Roman" w:cs="Times New Roman"/>
          <w:color w:val="000000"/>
          <w:sz w:val="20"/>
        </w:rPr>
        <w:t>including the FDA</w:t>
      </w:r>
      <w:r>
        <w:rPr>
          <w:rFonts w:ascii="Times New Roman" w:hAnsi="Times New Roman" w:cs="Times New Roman"/>
          <w:color w:val="000000"/>
          <w:sz w:val="20"/>
        </w:rPr>
        <w:t>’</w:t>
      </w:r>
      <w:r>
        <w:rPr>
          <w:rFonts w:ascii="Times New Roman" w:hAnsi="Times New Roman" w:cs="Times New Roman"/>
          <w:color w:val="000000"/>
          <w:sz w:val="20"/>
        </w:rPr>
        <w:t>s de</w:t>
      </w:r>
      <w:r>
        <w:rPr>
          <w:rFonts w:ascii="Times New Roman" w:hAnsi="Times New Roman" w:cs="Times New Roman"/>
          <w:color w:val="000000"/>
          <w:sz w:val="20"/>
        </w:rPr>
        <w:t>nial of a citizens petition asking that the drug be removed from the market</w:t>
      </w:r>
      <w:r>
        <w:rPr>
          <w:rFonts w:ascii="Times New Roman" w:hAnsi="Times New Roman" w:cs="Times New Roman"/>
          <w:color w:val="000000"/>
          <w:sz w:val="20"/>
        </w:rPr>
        <w:t>—</w:t>
      </w:r>
      <w:r>
        <w:rPr>
          <w:rFonts w:ascii="Times New Roman" w:hAnsi="Times New Roman" w:cs="Times New Roman"/>
          <w:color w:val="000000"/>
          <w:sz w:val="20"/>
        </w:rPr>
        <w:t xml:space="preserve">the court concluded that the defendant had not submitted clear evidence </w:t>
      </w:r>
      <w:r>
        <w:rPr>
          <w:rFonts w:ascii="Times New Roman" w:hAnsi="Times New Roman" w:cs="Times New Roman"/>
          <w:color w:val="000000"/>
          <w:sz w:val="20"/>
        </w:rPr>
        <w:t>“</w:t>
      </w:r>
      <w:r>
        <w:rPr>
          <w:rFonts w:ascii="Times New Roman" w:hAnsi="Times New Roman" w:cs="Times New Roman"/>
          <w:color w:val="000000"/>
          <w:sz w:val="20"/>
        </w:rPr>
        <w:t>that it fully informed the FDA and, in turn, the FDA rejected a proposed label change.</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Id.</w:t>
      </w:r>
      <w:r>
        <w:rPr>
          <w:rFonts w:ascii="Times New Roman" w:hAnsi="Times New Roman" w:cs="Times New Roman"/>
          <w:color w:val="0000FF"/>
          <w:sz w:val="20"/>
        </w:rPr>
        <w:t xml:space="preserve"> at p. 960</w:t>
      </w:r>
      <w:r>
        <w:rPr>
          <w:rFonts w:ascii="Times New Roman" w:hAnsi="Times New Roman" w:cs="Times New Roman"/>
          <w:color w:val="000000"/>
          <w:sz w:val="20"/>
        </w:rPr>
        <w:t>.) In</w:t>
      </w:r>
      <w:r>
        <w:rPr>
          <w:rFonts w:ascii="Times New Roman" w:hAnsi="Times New Roman" w:cs="Times New Roman"/>
          <w:color w:val="000000"/>
          <w:sz w:val="20"/>
        </w:rPr>
        <w:t xml:space="preserve"> other words, despite a more developed record in the trial court, the appellate court concluded that the defendant had not met its high burden to demonstrate impossibility preemption.</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We reach a similar conclusion that Monsanto has not, on the record bef</w:t>
      </w:r>
      <w:r>
        <w:rPr>
          <w:rFonts w:ascii="Times New Roman" w:hAnsi="Times New Roman" w:cs="Times New Roman"/>
          <w:color w:val="000000"/>
          <w:sz w:val="20"/>
        </w:rPr>
        <w:t>ore us, established that FIFRA preempts Johnson</w:t>
      </w:r>
      <w:r>
        <w:rPr>
          <w:rFonts w:ascii="Times New Roman" w:hAnsi="Times New Roman" w:cs="Times New Roman"/>
          <w:color w:val="000000"/>
          <w:sz w:val="20"/>
        </w:rPr>
        <w:t>’</w:t>
      </w:r>
      <w:r>
        <w:rPr>
          <w:rFonts w:ascii="Times New Roman" w:hAnsi="Times New Roman" w:cs="Times New Roman"/>
          <w:color w:val="000000"/>
          <w:sz w:val="20"/>
        </w:rPr>
        <w:t xml:space="preserve">s failure-to-warn claims. We look to </w:t>
      </w:r>
      <w:r>
        <w:rPr>
          <w:rFonts w:ascii="Times New Roman" w:hAnsi="Times New Roman" w:cs="Times New Roman"/>
          <w:color w:val="000000"/>
          <w:sz w:val="20"/>
        </w:rPr>
        <w:t>“</w:t>
      </w:r>
      <w:r>
        <w:rPr>
          <w:rFonts w:ascii="Times New Roman" w:hAnsi="Times New Roman" w:cs="Times New Roman"/>
          <w:color w:val="000000"/>
          <w:sz w:val="20"/>
        </w:rPr>
        <w:t>the substance of state and federal law and not on agency proclamations of pre-emption.</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Wyeth v. Levine</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555 U.S. at p. 576</w:t>
      </w:r>
      <w:r>
        <w:rPr>
          <w:rFonts w:ascii="Times New Roman" w:hAnsi="Times New Roman" w:cs="Times New Roman"/>
          <w:color w:val="000000"/>
          <w:sz w:val="20"/>
        </w:rPr>
        <w:t xml:space="preserve">.) The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possibility of impossibility </w:t>
      </w:r>
      <w:r>
        <w:rPr>
          <w:rFonts w:ascii="Times New Roman" w:hAnsi="Times New Roman" w:cs="Times New Roman"/>
          <w:color w:val="000000"/>
          <w:sz w:val="20"/>
        </w:rPr>
        <w:t>[is] not enough.</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Albrecht</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__ U.S. __ [139 S.Ct. at p. 1678]</w:t>
      </w:r>
      <w:r>
        <w:rPr>
          <w:rFonts w:ascii="Times New Roman" w:hAnsi="Times New Roman" w:cs="Times New Roman"/>
          <w:color w:val="000000"/>
          <w:sz w:val="20"/>
        </w:rPr>
        <w:t xml:space="preserve">.) Here, despite the supplemental information provided by Monsanto, it has established no more than a </w:t>
      </w:r>
      <w:r>
        <w:rPr>
          <w:rFonts w:ascii="Times New Roman" w:hAnsi="Times New Roman" w:cs="Times New Roman"/>
          <w:i/>
          <w:color w:val="000000"/>
          <w:sz w:val="20"/>
        </w:rPr>
        <w:t>possibility</w:t>
      </w:r>
      <w:r>
        <w:rPr>
          <w:rFonts w:ascii="Times New Roman" w:hAnsi="Times New Roman" w:cs="Times New Roman"/>
          <w:color w:val="000000"/>
          <w:sz w:val="20"/>
        </w:rPr>
        <w:t xml:space="preserve"> of impossibility. It is no doubt true that the EPA currently takes the </w:t>
      </w:r>
      <w:r>
        <w:rPr>
          <w:rFonts w:ascii="Times New Roman" w:hAnsi="Times New Roman" w:cs="Times New Roman"/>
          <w:color w:val="000000"/>
          <w:sz w:val="20"/>
        </w:rPr>
        <w:t xml:space="preserve">position that glyphosate is not harmful to humans and that a </w:t>
      </w:r>
      <w:r>
        <w:rPr>
          <w:rFonts w:ascii="Times New Roman" w:hAnsi="Times New Roman" w:cs="Times New Roman"/>
          <w:color w:val="0000FF"/>
          <w:sz w:val="20"/>
        </w:rPr>
        <w:t>cancer</w:t>
      </w:r>
      <w:r>
        <w:rPr>
          <w:rFonts w:ascii="Times New Roman" w:hAnsi="Times New Roman" w:cs="Times New Roman"/>
          <w:color w:val="000000"/>
          <w:sz w:val="20"/>
        </w:rPr>
        <w:t xml:space="preserve"> warning on glyphosate is unnecessary. But that opinion, in the abstract, is not binding on this court. (</w:t>
      </w:r>
      <w:r>
        <w:rPr>
          <w:rFonts w:ascii="Times New Roman" w:hAnsi="Times New Roman" w:cs="Times New Roman"/>
          <w:i/>
          <w:color w:val="0000FF"/>
          <w:sz w:val="20"/>
        </w:rPr>
        <w:t>Bates</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544 U.S. at pp. 448</w:t>
      </w:r>
      <w:r>
        <w:rPr>
          <w:rFonts w:ascii="Times New Roman" w:hAnsi="Times New Roman" w:cs="Times New Roman"/>
          <w:color w:val="0000FF"/>
          <w:sz w:val="20"/>
        </w:rPr>
        <w:t>–</w:t>
      </w:r>
      <w:r>
        <w:rPr>
          <w:rFonts w:ascii="Times New Roman" w:hAnsi="Times New Roman" w:cs="Times New Roman"/>
          <w:color w:val="0000FF"/>
          <w:sz w:val="20"/>
        </w:rPr>
        <w:t>449 &amp; fn. 24</w:t>
      </w:r>
      <w:r>
        <w:rPr>
          <w:rFonts w:ascii="Times New Roman" w:hAnsi="Times New Roman" w:cs="Times New Roman"/>
          <w:color w:val="000000"/>
          <w:sz w:val="20"/>
        </w:rPr>
        <w:t xml:space="preserve"> [rejecting statutory interpretation advanced by United States and noting that it took a contrary position just five years earlier in </w:t>
      </w:r>
      <w:r>
        <w:rPr>
          <w:rFonts w:ascii="Times New Roman" w:hAnsi="Times New Roman" w:cs="Times New Roman"/>
          <w:i/>
          <w:color w:val="0000FF"/>
          <w:sz w:val="20"/>
        </w:rPr>
        <w:t>Etcheverry</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22 Cal.4th at p. 330</w:t>
      </w:r>
      <w:r>
        <w:rPr>
          <w:rFonts w:ascii="Times New Roman" w:hAnsi="Times New Roman" w:cs="Times New Roman"/>
          <w:color w:val="000000"/>
          <w:sz w:val="20"/>
        </w:rPr>
        <w:t>].) Monsanto has not pointed to anything that holds the force of law necessary to p</w:t>
      </w:r>
      <w:r>
        <w:rPr>
          <w:rFonts w:ascii="Times New Roman" w:hAnsi="Times New Roman" w:cs="Times New Roman"/>
          <w:color w:val="000000"/>
          <w:sz w:val="20"/>
        </w:rPr>
        <w:t>reempt a conflicting state requirement. (</w:t>
      </w:r>
      <w:r>
        <w:rPr>
          <w:rFonts w:ascii="Times New Roman" w:hAnsi="Times New Roman" w:cs="Times New Roman"/>
          <w:i/>
          <w:color w:val="000000"/>
          <w:sz w:val="20"/>
        </w:rPr>
        <w:t>Wyeth v. Levine</w:t>
      </w:r>
      <w:r>
        <w:rPr>
          <w:rFonts w:ascii="Times New Roman" w:hAnsi="Times New Roman" w:cs="Times New Roman"/>
          <w:color w:val="000000"/>
          <w:sz w:val="20"/>
        </w:rPr>
        <w:t xml:space="preserve">, at p. 577.) And although it asks us to apply </w:t>
      </w:r>
      <w:r>
        <w:rPr>
          <w:rFonts w:ascii="Times New Roman" w:hAnsi="Times New Roman" w:cs="Times New Roman"/>
          <w:i/>
          <w:color w:val="000000"/>
          <w:sz w:val="20"/>
        </w:rPr>
        <w:t>Albrecht</w:t>
      </w:r>
      <w:r>
        <w:rPr>
          <w:rFonts w:ascii="Times New Roman" w:hAnsi="Times New Roman" w:cs="Times New Roman"/>
          <w:color w:val="000000"/>
          <w:sz w:val="20"/>
        </w:rPr>
        <w:t xml:space="preserve">, that case requires that in order to prevail on an impossibility defense, a manufacturer must show that it </w:t>
      </w:r>
      <w:r>
        <w:rPr>
          <w:rFonts w:ascii="Times New Roman" w:hAnsi="Times New Roman" w:cs="Times New Roman"/>
          <w:color w:val="000000"/>
          <w:sz w:val="20"/>
        </w:rPr>
        <w:t>“</w:t>
      </w:r>
      <w:r>
        <w:rPr>
          <w:rFonts w:ascii="Times New Roman" w:hAnsi="Times New Roman" w:cs="Times New Roman"/>
          <w:color w:val="000000"/>
          <w:sz w:val="20"/>
        </w:rPr>
        <w:t xml:space="preserve">fully informed [the federal agency] </w:t>
      </w:r>
      <w:r>
        <w:rPr>
          <w:rFonts w:ascii="Times New Roman" w:hAnsi="Times New Roman" w:cs="Times New Roman"/>
          <w:color w:val="000000"/>
          <w:sz w:val="20"/>
        </w:rPr>
        <w:t xml:space="preserve">for the justifications for the warning required by state law and that the [agency], in turn, informed the ... manufacturer </w:t>
      </w:r>
      <w:r>
        <w:rPr>
          <w:rFonts w:ascii="Times New Roman" w:hAnsi="Times New Roman" w:cs="Times New Roman"/>
          <w:color w:val="000000"/>
          <w:sz w:val="20"/>
        </w:rPr>
        <w:lastRenderedPageBreak/>
        <w:t>that the [agency] would not approve changing the ... label to include that warning.</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Albrecht</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__ U.S. __ [139 S.Ct. at p. 16</w:t>
      </w:r>
      <w:r>
        <w:rPr>
          <w:rFonts w:ascii="Times New Roman" w:hAnsi="Times New Roman" w:cs="Times New Roman"/>
          <w:color w:val="0000FF"/>
          <w:sz w:val="20"/>
        </w:rPr>
        <w:t>78]</w:t>
      </w:r>
      <w:r>
        <w:rPr>
          <w:rFonts w:ascii="Times New Roman" w:hAnsi="Times New Roman" w:cs="Times New Roman"/>
          <w:color w:val="000000"/>
          <w:sz w:val="20"/>
        </w:rPr>
        <w:t>.) Monsanto has made no such showing here.</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Finally, as mentioned above, reversal would not be warranted even if we were to conclude that FIFRA preempted Johnson</w:t>
      </w:r>
      <w:r>
        <w:rPr>
          <w:rFonts w:ascii="Times New Roman" w:hAnsi="Times New Roman" w:cs="Times New Roman"/>
          <w:color w:val="000000"/>
          <w:sz w:val="20"/>
        </w:rPr>
        <w:t>’</w:t>
      </w:r>
      <w:r>
        <w:rPr>
          <w:rFonts w:ascii="Times New Roman" w:hAnsi="Times New Roman" w:cs="Times New Roman"/>
          <w:color w:val="000000"/>
          <w:sz w:val="20"/>
        </w:rPr>
        <w:t>s failure-to-warn causes of action. This is because such a conclusion would have no effect</w:t>
      </w:r>
      <w:r>
        <w:rPr>
          <w:rFonts w:ascii="Times New Roman" w:hAnsi="Times New Roman" w:cs="Times New Roman"/>
          <w:color w:val="000000"/>
          <w:sz w:val="20"/>
        </w:rPr>
        <w:t xml:space="preserve"> on Johnson</w:t>
      </w:r>
      <w:r>
        <w:rPr>
          <w:rFonts w:ascii="Times New Roman" w:hAnsi="Times New Roman" w:cs="Times New Roman"/>
          <w:color w:val="000000"/>
          <w:sz w:val="20"/>
        </w:rPr>
        <w:t>’</w:t>
      </w:r>
      <w:r>
        <w:rPr>
          <w:rFonts w:ascii="Times New Roman" w:hAnsi="Times New Roman" w:cs="Times New Roman"/>
          <w:color w:val="000000"/>
          <w:sz w:val="20"/>
        </w:rPr>
        <w:t>s design defect claim, which provides an independent basis to affirm the jury</w:t>
      </w:r>
      <w:r>
        <w:rPr>
          <w:rFonts w:ascii="Times New Roman" w:hAnsi="Times New Roman" w:cs="Times New Roman"/>
          <w:color w:val="000000"/>
          <w:sz w:val="20"/>
        </w:rPr>
        <w:t>’</w:t>
      </w:r>
      <w:r>
        <w:rPr>
          <w:rFonts w:ascii="Times New Roman" w:hAnsi="Times New Roman" w:cs="Times New Roman"/>
          <w:color w:val="000000"/>
          <w:sz w:val="20"/>
        </w:rPr>
        <w:t>s liability determination and is not preempted. (</w:t>
      </w:r>
      <w:r>
        <w:rPr>
          <w:rFonts w:ascii="Times New Roman" w:hAnsi="Times New Roman" w:cs="Times New Roman"/>
          <w:i/>
          <w:color w:val="0000FF"/>
          <w:sz w:val="20"/>
        </w:rPr>
        <w:t>Etcheverry</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22 Cal.4th at p. 336</w:t>
      </w:r>
      <w:r>
        <w:rPr>
          <w:rFonts w:ascii="Times New Roman" w:hAnsi="Times New Roman" w:cs="Times New Roman"/>
          <w:color w:val="000000"/>
          <w:sz w:val="20"/>
        </w:rPr>
        <w:t xml:space="preserve">; </w:t>
      </w:r>
      <w:r>
        <w:rPr>
          <w:rFonts w:ascii="Times New Roman" w:hAnsi="Times New Roman" w:cs="Times New Roman"/>
          <w:i/>
          <w:color w:val="0000FF"/>
          <w:sz w:val="20"/>
        </w:rPr>
        <w:t>Arnold v. Dow Chemical Co.</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91 Cal.App.4th at pp. 728</w:t>
      </w:r>
      <w:r>
        <w:rPr>
          <w:rFonts w:ascii="Times New Roman" w:hAnsi="Times New Roman" w:cs="Times New Roman"/>
          <w:color w:val="0000FF"/>
          <w:sz w:val="20"/>
        </w:rPr>
        <w:t>–</w:t>
      </w:r>
      <w:r>
        <w:rPr>
          <w:rFonts w:ascii="Times New Roman" w:hAnsi="Times New Roman" w:cs="Times New Roman"/>
          <w:color w:val="0000FF"/>
          <w:sz w:val="20"/>
        </w:rPr>
        <w:t>729</w:t>
      </w:r>
      <w:r>
        <w:rPr>
          <w:rFonts w:ascii="Times New Roman" w:hAnsi="Times New Roman" w:cs="Times New Roman"/>
          <w:color w:val="000000"/>
          <w:sz w:val="20"/>
        </w:rPr>
        <w:t>.) We are no</w:t>
      </w:r>
      <w:r>
        <w:rPr>
          <w:rFonts w:ascii="Times New Roman" w:hAnsi="Times New Roman" w:cs="Times New Roman"/>
          <w:color w:val="000000"/>
          <w:sz w:val="20"/>
        </w:rPr>
        <w:t>t persuaded by Monsanto</w:t>
      </w:r>
      <w:r>
        <w:rPr>
          <w:rFonts w:ascii="Times New Roman" w:hAnsi="Times New Roman" w:cs="Times New Roman"/>
          <w:color w:val="000000"/>
          <w:sz w:val="20"/>
        </w:rPr>
        <w:t>’</w:t>
      </w:r>
      <w:r>
        <w:rPr>
          <w:rFonts w:ascii="Times New Roman" w:hAnsi="Times New Roman" w:cs="Times New Roman"/>
          <w:color w:val="000000"/>
          <w:sz w:val="20"/>
        </w:rPr>
        <w:t>s argument that Johnson did not have a true design defect claim because he focused solely on inadequate labeling of Roundup products. Monsanto first raised this argument in its supplemental briefing in response to the court</w:t>
      </w:r>
      <w:r>
        <w:rPr>
          <w:rFonts w:ascii="Times New Roman" w:hAnsi="Times New Roman" w:cs="Times New Roman"/>
          <w:color w:val="000000"/>
          <w:sz w:val="20"/>
        </w:rPr>
        <w:t>’</w:t>
      </w:r>
      <w:r>
        <w:rPr>
          <w:rFonts w:ascii="Times New Roman" w:hAnsi="Times New Roman" w:cs="Times New Roman"/>
          <w:color w:val="000000"/>
          <w:sz w:val="20"/>
        </w:rPr>
        <w:t>s questi</w:t>
      </w:r>
      <w:r>
        <w:rPr>
          <w:rFonts w:ascii="Times New Roman" w:hAnsi="Times New Roman" w:cs="Times New Roman"/>
          <w:color w:val="000000"/>
          <w:sz w:val="20"/>
        </w:rPr>
        <w:t>on whether we could affirm the jury</w:t>
      </w:r>
      <w:r>
        <w:rPr>
          <w:rFonts w:ascii="Times New Roman" w:hAnsi="Times New Roman" w:cs="Times New Roman"/>
          <w:color w:val="000000"/>
          <w:sz w:val="20"/>
        </w:rPr>
        <w:t>’</w:t>
      </w:r>
      <w:r>
        <w:rPr>
          <w:rFonts w:ascii="Times New Roman" w:hAnsi="Times New Roman" w:cs="Times New Roman"/>
          <w:color w:val="000000"/>
          <w:sz w:val="20"/>
        </w:rPr>
        <w:t>s verdict based solely on the design defect cause of action even if we concluded that Johnson</w:t>
      </w:r>
      <w:r>
        <w:rPr>
          <w:rFonts w:ascii="Times New Roman" w:hAnsi="Times New Roman" w:cs="Times New Roman"/>
          <w:color w:val="000000"/>
          <w:sz w:val="20"/>
        </w:rPr>
        <w:t>’</w:t>
      </w:r>
      <w:r>
        <w:rPr>
          <w:rFonts w:ascii="Times New Roman" w:hAnsi="Times New Roman" w:cs="Times New Roman"/>
          <w:color w:val="000000"/>
          <w:sz w:val="20"/>
        </w:rPr>
        <w:t xml:space="preserve">s failure-to-warn causes of action was preempted. It argued that the two causes of action were presented in an </w:t>
      </w:r>
      <w:r>
        <w:rPr>
          <w:rFonts w:ascii="Times New Roman" w:hAnsi="Times New Roman" w:cs="Times New Roman"/>
          <w:color w:val="000000"/>
          <w:sz w:val="20"/>
        </w:rPr>
        <w:t>“</w:t>
      </w:r>
      <w:r>
        <w:rPr>
          <w:rFonts w:ascii="Times New Roman" w:hAnsi="Times New Roman" w:cs="Times New Roman"/>
          <w:color w:val="000000"/>
          <w:sz w:val="20"/>
        </w:rPr>
        <w:t>inseparable ma</w:t>
      </w:r>
      <w:r>
        <w:rPr>
          <w:rFonts w:ascii="Times New Roman" w:hAnsi="Times New Roman" w:cs="Times New Roman"/>
          <w:color w:val="000000"/>
          <w:sz w:val="20"/>
        </w:rPr>
        <w:t>nner</w:t>
      </w:r>
      <w:r>
        <w:rPr>
          <w:rFonts w:ascii="Times New Roman" w:hAnsi="Times New Roman" w:cs="Times New Roman"/>
          <w:color w:val="000000"/>
          <w:sz w:val="20"/>
        </w:rPr>
        <w:t>”</w:t>
      </w:r>
      <w:r>
        <w:rPr>
          <w:rFonts w:ascii="Times New Roman" w:hAnsi="Times New Roman" w:cs="Times New Roman"/>
          <w:color w:val="000000"/>
          <w:sz w:val="20"/>
        </w:rPr>
        <w:t xml:space="preserve"> and based primarily on Monsanto</w:t>
      </w:r>
      <w:r>
        <w:rPr>
          <w:rFonts w:ascii="Times New Roman" w:hAnsi="Times New Roman" w:cs="Times New Roman"/>
          <w:color w:val="000000"/>
          <w:sz w:val="20"/>
        </w:rPr>
        <w:t>’</w:t>
      </w:r>
      <w:r>
        <w:rPr>
          <w:rFonts w:ascii="Times New Roman" w:hAnsi="Times New Roman" w:cs="Times New Roman"/>
          <w:color w:val="000000"/>
          <w:sz w:val="20"/>
        </w:rPr>
        <w:t>s failure to warn. And Monsanto</w:t>
      </w:r>
      <w:r>
        <w:rPr>
          <w:rFonts w:ascii="Times New Roman" w:hAnsi="Times New Roman" w:cs="Times New Roman"/>
          <w:color w:val="000000"/>
          <w:sz w:val="20"/>
        </w:rPr>
        <w:t>’</w:t>
      </w:r>
      <w:r>
        <w:rPr>
          <w:rFonts w:ascii="Times New Roman" w:hAnsi="Times New Roman" w:cs="Times New Roman"/>
          <w:color w:val="000000"/>
          <w:sz w:val="20"/>
        </w:rPr>
        <w:t>s counsel raised the issue again at oral argument.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Even putting aside that the jury made findings on both causes of action, we cannot conclude that the design defect claim was based so</w:t>
      </w:r>
      <w:r>
        <w:rPr>
          <w:rFonts w:ascii="Times New Roman" w:hAnsi="Times New Roman" w:cs="Times New Roman"/>
          <w:color w:val="000000"/>
          <w:sz w:val="20"/>
        </w:rPr>
        <w:t>lely on the products</w:t>
      </w:r>
      <w:r>
        <w:rPr>
          <w:rFonts w:ascii="Times New Roman" w:hAnsi="Times New Roman" w:cs="Times New Roman"/>
          <w:color w:val="000000"/>
          <w:sz w:val="20"/>
        </w:rPr>
        <w:t>’</w:t>
      </w:r>
      <w:r>
        <w:rPr>
          <w:rFonts w:ascii="Times New Roman" w:hAnsi="Times New Roman" w:cs="Times New Roman"/>
          <w:color w:val="000000"/>
          <w:sz w:val="20"/>
        </w:rPr>
        <w:t xml:space="preserve"> lack of a warning on its label. Although we accept that inadequate labeling was the core of Johnson</w:t>
      </w:r>
      <w:r>
        <w:rPr>
          <w:rFonts w:ascii="Times New Roman" w:hAnsi="Times New Roman" w:cs="Times New Roman"/>
          <w:color w:val="000000"/>
          <w:sz w:val="20"/>
        </w:rPr>
        <w:t>’</w:t>
      </w:r>
      <w:r>
        <w:rPr>
          <w:rFonts w:ascii="Times New Roman" w:hAnsi="Times New Roman" w:cs="Times New Roman"/>
          <w:color w:val="000000"/>
          <w:sz w:val="20"/>
        </w:rPr>
        <w:t>s design defect claim, it was not the claim</w:t>
      </w:r>
      <w:r>
        <w:rPr>
          <w:rFonts w:ascii="Times New Roman" w:hAnsi="Times New Roman" w:cs="Times New Roman"/>
          <w:color w:val="000000"/>
          <w:sz w:val="20"/>
        </w:rPr>
        <w:t>’</w:t>
      </w:r>
      <w:r>
        <w:rPr>
          <w:rFonts w:ascii="Times New Roman" w:hAnsi="Times New Roman" w:cs="Times New Roman"/>
          <w:color w:val="000000"/>
          <w:sz w:val="20"/>
        </w:rPr>
        <w:t>s exclusive basis. In closing argument, for example, Johnson</w:t>
      </w:r>
      <w:r>
        <w:rPr>
          <w:rFonts w:ascii="Times New Roman" w:hAnsi="Times New Roman" w:cs="Times New Roman"/>
          <w:color w:val="000000"/>
          <w:sz w:val="20"/>
        </w:rPr>
        <w:t>’</w:t>
      </w:r>
      <w:r>
        <w:rPr>
          <w:rFonts w:ascii="Times New Roman" w:hAnsi="Times New Roman" w:cs="Times New Roman"/>
          <w:color w:val="000000"/>
          <w:sz w:val="20"/>
        </w:rPr>
        <w:t xml:space="preserve">s attorney argued that </w:t>
      </w:r>
      <w:r>
        <w:rPr>
          <w:rFonts w:ascii="Times New Roman" w:hAnsi="Times New Roman" w:cs="Times New Roman"/>
          <w:color w:val="000000"/>
          <w:sz w:val="20"/>
        </w:rPr>
        <w:t>“</w:t>
      </w:r>
      <w:r>
        <w:rPr>
          <w:rFonts w:ascii="Times New Roman" w:hAnsi="Times New Roman" w:cs="Times New Roman"/>
          <w:color w:val="000000"/>
          <w:sz w:val="20"/>
        </w:rPr>
        <w:t>it</w:t>
      </w:r>
      <w:r>
        <w:rPr>
          <w:rFonts w:ascii="Times New Roman" w:hAnsi="Times New Roman" w:cs="Times New Roman"/>
          <w:color w:val="000000"/>
          <w:sz w:val="20"/>
        </w:rPr>
        <w:t>’</w:t>
      </w:r>
      <w:r>
        <w:rPr>
          <w:rFonts w:ascii="Times New Roman" w:hAnsi="Times New Roman" w:cs="Times New Roman"/>
          <w:color w:val="000000"/>
          <w:sz w:val="20"/>
        </w:rPr>
        <w:t xml:space="preserve">s </w:t>
      </w:r>
      <w:r>
        <w:rPr>
          <w:rFonts w:ascii="Times New Roman" w:hAnsi="Times New Roman" w:cs="Times New Roman"/>
          <w:color w:val="000000"/>
          <w:sz w:val="20"/>
        </w:rPr>
        <w:t>the design itself that</w:t>
      </w:r>
      <w:r>
        <w:rPr>
          <w:rFonts w:ascii="Times New Roman" w:hAnsi="Times New Roman" w:cs="Times New Roman"/>
          <w:color w:val="000000"/>
          <w:sz w:val="20"/>
        </w:rPr>
        <w:t>’</w:t>
      </w:r>
      <w:r>
        <w:rPr>
          <w:rFonts w:ascii="Times New Roman" w:hAnsi="Times New Roman" w:cs="Times New Roman"/>
          <w:color w:val="000000"/>
          <w:sz w:val="20"/>
        </w:rPr>
        <w:t>s the problem. And we know, because we heard testimony about it, there</w:t>
      </w:r>
      <w:r>
        <w:rPr>
          <w:rFonts w:ascii="Times New Roman" w:hAnsi="Times New Roman" w:cs="Times New Roman"/>
          <w:color w:val="000000"/>
          <w:sz w:val="20"/>
        </w:rPr>
        <w:t>’</w:t>
      </w:r>
      <w:r>
        <w:rPr>
          <w:rFonts w:ascii="Times New Roman" w:hAnsi="Times New Roman" w:cs="Times New Roman"/>
          <w:color w:val="000000"/>
          <w:sz w:val="20"/>
        </w:rPr>
        <w:t>s other types of surfactants they could use that are not as problematic. [¶] We saw a slideshow from Monsanto</w:t>
      </w:r>
      <w:r>
        <w:rPr>
          <w:rFonts w:ascii="Times New Roman" w:hAnsi="Times New Roman" w:cs="Times New Roman"/>
          <w:color w:val="000000"/>
          <w:sz w:val="20"/>
        </w:rPr>
        <w:t>’</w:t>
      </w:r>
      <w:r>
        <w:rPr>
          <w:rFonts w:ascii="Times New Roman" w:hAnsi="Times New Roman" w:cs="Times New Roman"/>
          <w:color w:val="000000"/>
          <w:sz w:val="20"/>
        </w:rPr>
        <w:t xml:space="preserve">s own employee saying, </w:t>
      </w:r>
      <w:r>
        <w:rPr>
          <w:rFonts w:ascii="Times New Roman" w:hAnsi="Times New Roman" w:cs="Times New Roman"/>
          <w:color w:val="000000"/>
          <w:sz w:val="20"/>
        </w:rPr>
        <w:t>‘</w:t>
      </w:r>
      <w:r>
        <w:rPr>
          <w:rFonts w:ascii="Times New Roman" w:hAnsi="Times New Roman" w:cs="Times New Roman"/>
          <w:color w:val="000000"/>
          <w:sz w:val="20"/>
        </w:rPr>
        <w:t>This stuff is toxic, POEA.</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There</w:t>
      </w:r>
      <w:r>
        <w:rPr>
          <w:rFonts w:ascii="Times New Roman" w:hAnsi="Times New Roman" w:cs="Times New Roman"/>
          <w:color w:val="000000"/>
          <w:sz w:val="20"/>
        </w:rPr>
        <w:t>’</w:t>
      </w:r>
      <w:r>
        <w:rPr>
          <w:rFonts w:ascii="Times New Roman" w:hAnsi="Times New Roman" w:cs="Times New Roman"/>
          <w:color w:val="000000"/>
          <w:sz w:val="20"/>
        </w:rPr>
        <w:t>s no reason why they have to use POEA in this country. There</w:t>
      </w:r>
      <w:r>
        <w:rPr>
          <w:rFonts w:ascii="Times New Roman" w:hAnsi="Times New Roman" w:cs="Times New Roman"/>
          <w:color w:val="000000"/>
          <w:sz w:val="20"/>
        </w:rPr>
        <w:t>’</w:t>
      </w:r>
      <w:r>
        <w:rPr>
          <w:rFonts w:ascii="Times New Roman" w:hAnsi="Times New Roman" w:cs="Times New Roman"/>
          <w:color w:val="000000"/>
          <w:sz w:val="20"/>
        </w:rPr>
        <w:t>s no reason for it.</w:t>
      </w:r>
      <w:r>
        <w:rPr>
          <w:rFonts w:ascii="Times New Roman" w:hAnsi="Times New Roman" w:cs="Times New Roman"/>
          <w:color w:val="000000"/>
          <w:sz w:val="20"/>
        </w:rPr>
        <w:t>”</w:t>
      </w:r>
      <w:r>
        <w:rPr>
          <w:rFonts w:ascii="Times New Roman" w:hAnsi="Times New Roman" w:cs="Times New Roman"/>
          <w:color w:val="000000"/>
          <w:sz w:val="20"/>
        </w:rPr>
        <w:t xml:space="preserve"> We reject Monsanto</w:t>
      </w:r>
      <w:r>
        <w:rPr>
          <w:rFonts w:ascii="Times New Roman" w:hAnsi="Times New Roman" w:cs="Times New Roman"/>
          <w:color w:val="000000"/>
          <w:sz w:val="20"/>
        </w:rPr>
        <w:t>’</w:t>
      </w:r>
      <w:r>
        <w:rPr>
          <w:rFonts w:ascii="Times New Roman" w:hAnsi="Times New Roman" w:cs="Times New Roman"/>
          <w:color w:val="000000"/>
          <w:sz w:val="20"/>
        </w:rPr>
        <w:t xml:space="preserve">s belated argument that Johnson did not maintain a separate design defect cause of action. (See also </w:t>
      </w:r>
      <w:r>
        <w:rPr>
          <w:rFonts w:ascii="Times New Roman" w:hAnsi="Times New Roman" w:cs="Times New Roman"/>
          <w:i/>
          <w:color w:val="0000FF"/>
          <w:sz w:val="20"/>
        </w:rPr>
        <w:t>Bates</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544 U.S. at p. 445</w:t>
      </w:r>
      <w:r>
        <w:rPr>
          <w:rFonts w:ascii="Times New Roman" w:hAnsi="Times New Roman" w:cs="Times New Roman"/>
          <w:color w:val="000000"/>
          <w:sz w:val="20"/>
        </w:rPr>
        <w:t xml:space="preserve"> [rejecting argu</w:t>
      </w:r>
      <w:r>
        <w:rPr>
          <w:rFonts w:ascii="Times New Roman" w:hAnsi="Times New Roman" w:cs="Times New Roman"/>
          <w:color w:val="000000"/>
          <w:sz w:val="20"/>
        </w:rPr>
        <w:t>ment that design defect claim was preempted because a verdict might induce company to alter its label].)</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46" w:name="co_pp_sp_999_22_1"/>
      <w:bookmarkEnd w:id="46"/>
      <w:r>
        <w:rPr>
          <w:rFonts w:ascii="Times New Roman" w:hAnsi="Times New Roman" w:cs="Times New Roman"/>
          <w:b/>
          <w:color w:val="000000"/>
          <w:sz w:val="20"/>
        </w:rPr>
        <w:t>*22</w:t>
      </w:r>
      <w:r>
        <w:rPr>
          <w:rFonts w:ascii="Times New Roman" w:hAnsi="Times New Roman" w:cs="Times New Roman"/>
          <w:color w:val="000000"/>
          <w:sz w:val="20"/>
        </w:rPr>
        <w:t xml:space="preserve"> Finally, we see no reason why Johnson</w:t>
      </w:r>
      <w:r>
        <w:rPr>
          <w:rFonts w:ascii="Times New Roman" w:hAnsi="Times New Roman" w:cs="Times New Roman"/>
          <w:color w:val="000000"/>
          <w:sz w:val="20"/>
        </w:rPr>
        <w:t>’</w:t>
      </w:r>
      <w:r>
        <w:rPr>
          <w:rFonts w:ascii="Times New Roman" w:hAnsi="Times New Roman" w:cs="Times New Roman"/>
          <w:color w:val="000000"/>
          <w:sz w:val="20"/>
        </w:rPr>
        <w:t xml:space="preserve">s compensatory damages would be any less were we to affirm solely on the </w:t>
      </w:r>
      <w:r>
        <w:rPr>
          <w:rFonts w:ascii="Times New Roman" w:hAnsi="Times New Roman" w:cs="Times New Roman"/>
          <w:color w:val="000000"/>
          <w:sz w:val="20"/>
        </w:rPr>
        <w:t>design defect cause of action, and Monsanto</w:t>
      </w:r>
      <w:r>
        <w:rPr>
          <w:rFonts w:ascii="Times New Roman" w:hAnsi="Times New Roman" w:cs="Times New Roman"/>
          <w:color w:val="000000"/>
          <w:sz w:val="20"/>
        </w:rPr>
        <w:t>’</w:t>
      </w:r>
      <w:r>
        <w:rPr>
          <w:rFonts w:ascii="Times New Roman" w:hAnsi="Times New Roman" w:cs="Times New Roman"/>
          <w:color w:val="000000"/>
          <w:sz w:val="20"/>
        </w:rPr>
        <w:t>s conduct still supports an award of punitive damages, as we discuss below.</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There is no basis to reverse the judgment based on preemption.</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47" w:name="co_anchor_I2f929891cad611eaad728cad1da01"/>
      <w:bookmarkEnd w:id="47"/>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400"/>
        <w:ind w:left="200"/>
        <w:rPr>
          <w:rFonts w:ascii="Times New Roman" w:hAnsi="Times New Roman" w:cs="Times New Roman"/>
          <w:i/>
          <w:color w:val="000000"/>
          <w:sz w:val="20"/>
        </w:rPr>
      </w:pPr>
      <w:r>
        <w:rPr>
          <w:rFonts w:ascii="Times New Roman" w:hAnsi="Times New Roman" w:cs="Times New Roman"/>
          <w:i/>
          <w:color w:val="000000"/>
          <w:sz w:val="20"/>
        </w:rPr>
        <w:t>B. Monsanto Has Not Established That the Trial Court Erred in Admitting or Excluding Evidence.</w:t>
      </w:r>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600" w:after="200"/>
        <w:jc w:val="center"/>
        <w:rPr>
          <w:rFonts w:ascii="Times New Roman" w:hAnsi="Times New Roman" w:cs="Times New Roman"/>
          <w:color w:val="000000"/>
          <w:sz w:val="20"/>
        </w:rPr>
      </w:pPr>
      <w:r>
        <w:rPr>
          <w:rFonts w:ascii="Times New Roman" w:hAnsi="Times New Roman" w:cs="Times New Roman"/>
          <w:color w:val="000000"/>
          <w:sz w:val="20"/>
        </w:rPr>
        <w:t>1. Additional Background.</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Monsanto sought to admit various documents from the EPA and foreign regulatory bodies concluding that glyphosate is </w:t>
      </w:r>
      <w:r>
        <w:rPr>
          <w:rFonts w:ascii="Times New Roman" w:hAnsi="Times New Roman" w:cs="Times New Roman"/>
          <w:color w:val="000000"/>
          <w:sz w:val="20"/>
        </w:rPr>
        <w:t>“</w:t>
      </w:r>
      <w:r>
        <w:rPr>
          <w:rFonts w:ascii="Times New Roman" w:hAnsi="Times New Roman" w:cs="Times New Roman"/>
          <w:color w:val="000000"/>
          <w:sz w:val="20"/>
        </w:rPr>
        <w:t>safe</w:t>
      </w:r>
      <w:r>
        <w:rPr>
          <w:rFonts w:ascii="Times New Roman" w:hAnsi="Times New Roman" w:cs="Times New Roman"/>
          <w:color w:val="000000"/>
          <w:sz w:val="20"/>
        </w:rPr>
        <w:t>”</w:t>
      </w:r>
      <w:r>
        <w:rPr>
          <w:rFonts w:ascii="Times New Roman" w:hAnsi="Times New Roman" w:cs="Times New Roman"/>
          <w:color w:val="000000"/>
          <w:sz w:val="20"/>
        </w:rPr>
        <w:t xml:space="preserve"> and does not cause </w:t>
      </w:r>
      <w:r>
        <w:rPr>
          <w:rFonts w:ascii="Times New Roman" w:hAnsi="Times New Roman" w:cs="Times New Roman"/>
          <w:color w:val="0000FF"/>
          <w:sz w:val="20"/>
        </w:rPr>
        <w:t>cancer</w:t>
      </w:r>
      <w:r>
        <w:rPr>
          <w:rFonts w:ascii="Times New Roman" w:hAnsi="Times New Roman" w:cs="Times New Roman"/>
          <w:color w:val="000000"/>
          <w:sz w:val="20"/>
        </w:rPr>
        <w:t>. Its appellate briefing, however, makes it difficult to identify the specific documents and trial court rulings at issue. We do our best to summarize the relevant proceedings below.</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During the trial, Monsanto submitted a motio</w:t>
      </w:r>
      <w:r>
        <w:rPr>
          <w:rFonts w:ascii="Times New Roman" w:hAnsi="Times New Roman" w:cs="Times New Roman"/>
          <w:color w:val="000000"/>
          <w:sz w:val="20"/>
        </w:rPr>
        <w:t>n seeking to introduce foreign regulatory decisions to support its position that glyphosate</w:t>
      </w:r>
      <w:r>
        <w:rPr>
          <w:rFonts w:ascii="Times New Roman" w:hAnsi="Times New Roman" w:cs="Times New Roman"/>
          <w:color w:val="000000"/>
          <w:sz w:val="20"/>
        </w:rPr>
        <w:t>’</w:t>
      </w:r>
      <w:r>
        <w:rPr>
          <w:rFonts w:ascii="Times New Roman" w:hAnsi="Times New Roman" w:cs="Times New Roman"/>
          <w:color w:val="000000"/>
          <w:sz w:val="20"/>
        </w:rPr>
        <w:t xml:space="preserve">s safety is </w:t>
      </w:r>
      <w:r>
        <w:rPr>
          <w:rFonts w:ascii="Times New Roman" w:hAnsi="Times New Roman" w:cs="Times New Roman"/>
          <w:color w:val="000000"/>
          <w:sz w:val="20"/>
        </w:rPr>
        <w:t>“</w:t>
      </w:r>
      <w:r>
        <w:rPr>
          <w:rFonts w:ascii="Times New Roman" w:hAnsi="Times New Roman" w:cs="Times New Roman"/>
          <w:color w:val="000000"/>
          <w:sz w:val="20"/>
        </w:rPr>
        <w:t>in the mainstream of scientific opinion.</w:t>
      </w:r>
      <w:r>
        <w:rPr>
          <w:rFonts w:ascii="Times New Roman" w:hAnsi="Times New Roman" w:cs="Times New Roman"/>
          <w:color w:val="000000"/>
          <w:sz w:val="20"/>
        </w:rPr>
        <w:t>”</w:t>
      </w:r>
      <w:r>
        <w:rPr>
          <w:rFonts w:ascii="Times New Roman" w:hAnsi="Times New Roman" w:cs="Times New Roman"/>
          <w:color w:val="000000"/>
          <w:sz w:val="20"/>
        </w:rPr>
        <w:t xml:space="preserve"> The motion was submitted with an exhibit that included excerpts from eight foreign regulatory decisions. The </w:t>
      </w:r>
      <w:r>
        <w:rPr>
          <w:rFonts w:ascii="Times New Roman" w:hAnsi="Times New Roman" w:cs="Times New Roman"/>
          <w:color w:val="000000"/>
          <w:sz w:val="20"/>
        </w:rPr>
        <w:t>motion did not rely on an exception to the hearsay rule, and Monsanto does not indicate in its appellate briefing how the trial court ruled on it.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In its opening brief, Monsanto states that </w:t>
      </w:r>
      <w:r>
        <w:rPr>
          <w:rFonts w:ascii="Times New Roman" w:hAnsi="Times New Roman" w:cs="Times New Roman"/>
          <w:color w:val="000000"/>
          <w:sz w:val="20"/>
        </w:rPr>
        <w:t>“</w:t>
      </w:r>
      <w:r>
        <w:rPr>
          <w:rFonts w:ascii="Times New Roman" w:hAnsi="Times New Roman" w:cs="Times New Roman"/>
          <w:color w:val="000000"/>
          <w:sz w:val="20"/>
        </w:rPr>
        <w:t>the trial court excluded as hearsay several EPA and foreign reg</w:t>
      </w:r>
      <w:r>
        <w:rPr>
          <w:rFonts w:ascii="Times New Roman" w:hAnsi="Times New Roman" w:cs="Times New Roman"/>
          <w:color w:val="000000"/>
          <w:sz w:val="20"/>
        </w:rPr>
        <w:t>ulatory agency reports that Monsanto offered to show contrary conclusions on the carcinogenicity of glyphosate,</w:t>
      </w:r>
      <w:r>
        <w:rPr>
          <w:rFonts w:ascii="Times New Roman" w:hAnsi="Times New Roman" w:cs="Times New Roman"/>
          <w:color w:val="000000"/>
          <w:sz w:val="20"/>
        </w:rPr>
        <w:t>”</w:t>
      </w:r>
      <w:r>
        <w:rPr>
          <w:rFonts w:ascii="Times New Roman" w:hAnsi="Times New Roman" w:cs="Times New Roman"/>
          <w:color w:val="000000"/>
          <w:sz w:val="20"/>
        </w:rPr>
        <w:t xml:space="preserve"> and cites to various portions of the trial transcript. But these cited excerpts shed little light on Monsanto</w:t>
      </w:r>
      <w:r>
        <w:rPr>
          <w:rFonts w:ascii="Times New Roman" w:hAnsi="Times New Roman" w:cs="Times New Roman"/>
          <w:color w:val="000000"/>
          <w:sz w:val="20"/>
        </w:rPr>
        <w:t>’</w:t>
      </w:r>
      <w:r>
        <w:rPr>
          <w:rFonts w:ascii="Times New Roman" w:hAnsi="Times New Roman" w:cs="Times New Roman"/>
          <w:color w:val="000000"/>
          <w:sz w:val="20"/>
        </w:rPr>
        <w:t>s appellate arguments. One excerp</w:t>
      </w:r>
      <w:r>
        <w:rPr>
          <w:rFonts w:ascii="Times New Roman" w:hAnsi="Times New Roman" w:cs="Times New Roman"/>
          <w:color w:val="000000"/>
          <w:sz w:val="20"/>
        </w:rPr>
        <w:t>t is to a discussion with the trial court shortly after trial began about the countries whose regulatory agencies Monsanto wanted to cite during trial, but the excerpt does not include references to specific documents, let alone the trial court</w:t>
      </w:r>
      <w:r>
        <w:rPr>
          <w:rFonts w:ascii="Times New Roman" w:hAnsi="Times New Roman" w:cs="Times New Roman"/>
          <w:color w:val="000000"/>
          <w:sz w:val="20"/>
        </w:rPr>
        <w:t>’</w:t>
      </w:r>
      <w:r>
        <w:rPr>
          <w:rFonts w:ascii="Times New Roman" w:hAnsi="Times New Roman" w:cs="Times New Roman"/>
          <w:color w:val="000000"/>
          <w:sz w:val="20"/>
        </w:rPr>
        <w:t>s ruling on</w:t>
      </w:r>
      <w:r>
        <w:rPr>
          <w:rFonts w:ascii="Times New Roman" w:hAnsi="Times New Roman" w:cs="Times New Roman"/>
          <w:color w:val="000000"/>
          <w:sz w:val="20"/>
        </w:rPr>
        <w:t xml:space="preserve"> those documents. Another excerpt shows that Monsanto</w:t>
      </w:r>
      <w:r>
        <w:rPr>
          <w:rFonts w:ascii="Times New Roman" w:hAnsi="Times New Roman" w:cs="Times New Roman"/>
          <w:color w:val="000000"/>
          <w:sz w:val="20"/>
        </w:rPr>
        <w:t>’</w:t>
      </w:r>
      <w:r>
        <w:rPr>
          <w:rFonts w:ascii="Times New Roman" w:hAnsi="Times New Roman" w:cs="Times New Roman"/>
          <w:color w:val="000000"/>
          <w:sz w:val="20"/>
        </w:rPr>
        <w:t>s counsel cross-examined expert Portier about statements in an opinion from the European Chemicals Agency. Monsanto then sought to have the document admitted into evidence, but the trial court sustained</w:t>
      </w:r>
      <w:r>
        <w:rPr>
          <w:rFonts w:ascii="Times New Roman" w:hAnsi="Times New Roman" w:cs="Times New Roman"/>
          <w:color w:val="000000"/>
          <w:sz w:val="20"/>
        </w:rPr>
        <w:t xml:space="preserve"> Johnson</w:t>
      </w:r>
      <w:r>
        <w:rPr>
          <w:rFonts w:ascii="Times New Roman" w:hAnsi="Times New Roman" w:cs="Times New Roman"/>
          <w:color w:val="000000"/>
          <w:sz w:val="20"/>
        </w:rPr>
        <w:t>’</w:t>
      </w:r>
      <w:r>
        <w:rPr>
          <w:rFonts w:ascii="Times New Roman" w:hAnsi="Times New Roman" w:cs="Times New Roman"/>
          <w:color w:val="000000"/>
          <w:sz w:val="20"/>
        </w:rPr>
        <w:t>s hearsay objection and directed Monsanto</w:t>
      </w:r>
      <w:r>
        <w:rPr>
          <w:rFonts w:ascii="Times New Roman" w:hAnsi="Times New Roman" w:cs="Times New Roman"/>
          <w:color w:val="000000"/>
          <w:sz w:val="20"/>
        </w:rPr>
        <w:t>’</w:t>
      </w:r>
      <w:r>
        <w:rPr>
          <w:rFonts w:ascii="Times New Roman" w:hAnsi="Times New Roman" w:cs="Times New Roman"/>
          <w:color w:val="000000"/>
          <w:sz w:val="20"/>
        </w:rPr>
        <w:t xml:space="preserve">s counsel that </w:t>
      </w:r>
      <w:r>
        <w:rPr>
          <w:rFonts w:ascii="Times New Roman" w:hAnsi="Times New Roman" w:cs="Times New Roman"/>
          <w:color w:val="000000"/>
          <w:sz w:val="20"/>
        </w:rPr>
        <w:t>“</w:t>
      </w:r>
      <w:r>
        <w:rPr>
          <w:rFonts w:ascii="Times New Roman" w:hAnsi="Times New Roman" w:cs="Times New Roman"/>
          <w:color w:val="000000"/>
          <w:sz w:val="20"/>
        </w:rPr>
        <w:t>if you have any case law you</w:t>
      </w:r>
      <w:r>
        <w:rPr>
          <w:rFonts w:ascii="Times New Roman" w:hAnsi="Times New Roman" w:cs="Times New Roman"/>
          <w:color w:val="000000"/>
          <w:sz w:val="20"/>
        </w:rPr>
        <w:t>’</w:t>
      </w:r>
      <w:r>
        <w:rPr>
          <w:rFonts w:ascii="Times New Roman" w:hAnsi="Times New Roman" w:cs="Times New Roman"/>
          <w:color w:val="000000"/>
          <w:sz w:val="20"/>
        </w:rPr>
        <w:t>d like me to look at with respect to documents listed in [Portier</w:t>
      </w:r>
      <w:r>
        <w:rPr>
          <w:rFonts w:ascii="Times New Roman" w:hAnsi="Times New Roman" w:cs="Times New Roman"/>
          <w:color w:val="000000"/>
          <w:sz w:val="20"/>
        </w:rPr>
        <w:t>’</w:t>
      </w:r>
      <w:r>
        <w:rPr>
          <w:rFonts w:ascii="Times New Roman" w:hAnsi="Times New Roman" w:cs="Times New Roman"/>
          <w:color w:val="000000"/>
          <w:sz w:val="20"/>
        </w:rPr>
        <w:t>s] report,</w:t>
      </w:r>
      <w:r>
        <w:rPr>
          <w:rFonts w:ascii="Times New Roman" w:hAnsi="Times New Roman" w:cs="Times New Roman"/>
          <w:color w:val="000000"/>
          <w:sz w:val="20"/>
        </w:rPr>
        <w:t>”</w:t>
      </w:r>
      <w:r>
        <w:rPr>
          <w:rFonts w:ascii="Times New Roman" w:hAnsi="Times New Roman" w:cs="Times New Roman"/>
          <w:color w:val="000000"/>
          <w:sz w:val="20"/>
        </w:rPr>
        <w:t xml:space="preserve"> provide it to the court. Yet another excerpt reveals that during further cross-exa</w:t>
      </w:r>
      <w:r>
        <w:rPr>
          <w:rFonts w:ascii="Times New Roman" w:hAnsi="Times New Roman" w:cs="Times New Roman"/>
          <w:color w:val="000000"/>
          <w:sz w:val="20"/>
        </w:rPr>
        <w:t xml:space="preserve">mination of Portier, Monsanto sought to admit a 227-page September 2016 </w:t>
      </w:r>
      <w:r>
        <w:rPr>
          <w:rFonts w:ascii="Times New Roman" w:hAnsi="Times New Roman" w:cs="Times New Roman"/>
          <w:color w:val="000000"/>
          <w:sz w:val="20"/>
        </w:rPr>
        <w:t>“</w:t>
      </w:r>
      <w:r>
        <w:rPr>
          <w:rFonts w:ascii="Times New Roman" w:hAnsi="Times New Roman" w:cs="Times New Roman"/>
          <w:color w:val="000000"/>
          <w:sz w:val="20"/>
        </w:rPr>
        <w:t>Glyphosate Issue Paper</w:t>
      </w:r>
      <w:r>
        <w:rPr>
          <w:rFonts w:ascii="Times New Roman" w:hAnsi="Times New Roman" w:cs="Times New Roman"/>
          <w:color w:val="000000"/>
          <w:sz w:val="20"/>
        </w:rPr>
        <w:t>”</w:t>
      </w:r>
      <w:r>
        <w:rPr>
          <w:rFonts w:ascii="Times New Roman" w:hAnsi="Times New Roman" w:cs="Times New Roman"/>
          <w:color w:val="000000"/>
          <w:sz w:val="20"/>
        </w:rPr>
        <w:t xml:space="preserve"> by the EPA</w:t>
      </w:r>
      <w:r>
        <w:rPr>
          <w:rFonts w:ascii="Times New Roman" w:hAnsi="Times New Roman" w:cs="Times New Roman"/>
          <w:color w:val="000000"/>
          <w:sz w:val="20"/>
        </w:rPr>
        <w:t>’</w:t>
      </w:r>
      <w:r>
        <w:rPr>
          <w:rFonts w:ascii="Times New Roman" w:hAnsi="Times New Roman" w:cs="Times New Roman"/>
          <w:color w:val="000000"/>
          <w:sz w:val="20"/>
        </w:rPr>
        <w:t>s Office of Pesticide Programs. The trial court ruled that Monsanto could publish relevant portions of the paper to the jury but that the court woul</w:t>
      </w:r>
      <w:r>
        <w:rPr>
          <w:rFonts w:ascii="Times New Roman" w:hAnsi="Times New Roman" w:cs="Times New Roman"/>
          <w:color w:val="000000"/>
          <w:sz w:val="20"/>
        </w:rPr>
        <w:t xml:space="preserve">d not admit the </w:t>
      </w:r>
      <w:r>
        <w:rPr>
          <w:rFonts w:ascii="Times New Roman" w:hAnsi="Times New Roman" w:cs="Times New Roman"/>
          <w:color w:val="000000"/>
          <w:sz w:val="20"/>
        </w:rPr>
        <w:lastRenderedPageBreak/>
        <w:t>entire hearsay document, and Monsanto</w:t>
      </w:r>
      <w:r>
        <w:rPr>
          <w:rFonts w:ascii="Times New Roman" w:hAnsi="Times New Roman" w:cs="Times New Roman"/>
          <w:color w:val="000000"/>
          <w:sz w:val="20"/>
        </w:rPr>
        <w:t>’</w:t>
      </w:r>
      <w:r>
        <w:rPr>
          <w:rFonts w:ascii="Times New Roman" w:hAnsi="Times New Roman" w:cs="Times New Roman"/>
          <w:color w:val="000000"/>
          <w:sz w:val="20"/>
        </w:rPr>
        <w:t xml:space="preserve">s attorney said Monsanto wanted to brief the issue of the </w:t>
      </w:r>
      <w:r>
        <w:rPr>
          <w:rFonts w:ascii="Times New Roman" w:hAnsi="Times New Roman" w:cs="Times New Roman"/>
          <w:color w:val="000000"/>
          <w:sz w:val="20"/>
        </w:rPr>
        <w:t>“</w:t>
      </w:r>
      <w:r>
        <w:rPr>
          <w:rFonts w:ascii="Times New Roman" w:hAnsi="Times New Roman" w:cs="Times New Roman"/>
          <w:color w:val="000000"/>
          <w:sz w:val="20"/>
        </w:rPr>
        <w:t>government exceptions records.</w:t>
      </w:r>
      <w:r>
        <w:rPr>
          <w:rFonts w:ascii="Times New Roman" w:hAnsi="Times New Roman" w:cs="Times New Roman"/>
          <w:color w:val="000000"/>
          <w:sz w:val="20"/>
        </w:rPr>
        <w:t>”</w:t>
      </w:r>
      <w:r>
        <w:rPr>
          <w:rFonts w:ascii="Times New Roman" w:hAnsi="Times New Roman" w:cs="Times New Roman"/>
          <w:color w:val="000000"/>
          <w:sz w:val="20"/>
        </w:rPr>
        <w:t xml:space="preserve"> Later that day, Monsanto argued to the court that </w:t>
      </w:r>
      <w:r>
        <w:rPr>
          <w:rFonts w:ascii="Times New Roman" w:hAnsi="Times New Roman" w:cs="Times New Roman"/>
          <w:color w:val="000000"/>
          <w:sz w:val="20"/>
        </w:rPr>
        <w:t>“</w:t>
      </w:r>
      <w:r>
        <w:rPr>
          <w:rFonts w:ascii="Times New Roman" w:hAnsi="Times New Roman" w:cs="Times New Roman"/>
          <w:color w:val="000000"/>
          <w:sz w:val="20"/>
        </w:rPr>
        <w:t>documents</w:t>
      </w:r>
      <w:r>
        <w:rPr>
          <w:rFonts w:ascii="Times New Roman" w:hAnsi="Times New Roman" w:cs="Times New Roman"/>
          <w:color w:val="000000"/>
          <w:sz w:val="20"/>
        </w:rPr>
        <w:t>”</w:t>
      </w:r>
      <w:r>
        <w:rPr>
          <w:rFonts w:ascii="Times New Roman" w:hAnsi="Times New Roman" w:cs="Times New Roman"/>
          <w:color w:val="000000"/>
          <w:sz w:val="20"/>
        </w:rPr>
        <w:t xml:space="preserve"> that showed Monsanto</w:t>
      </w:r>
      <w:r>
        <w:rPr>
          <w:rFonts w:ascii="Times New Roman" w:hAnsi="Times New Roman" w:cs="Times New Roman"/>
          <w:color w:val="000000"/>
          <w:sz w:val="20"/>
        </w:rPr>
        <w:t>’</w:t>
      </w:r>
      <w:r>
        <w:rPr>
          <w:rFonts w:ascii="Times New Roman" w:hAnsi="Times New Roman" w:cs="Times New Roman"/>
          <w:color w:val="000000"/>
          <w:sz w:val="20"/>
        </w:rPr>
        <w:t xml:space="preserve">s action were </w:t>
      </w:r>
      <w:r>
        <w:rPr>
          <w:rFonts w:ascii="Times New Roman" w:hAnsi="Times New Roman" w:cs="Times New Roman"/>
          <w:color w:val="000000"/>
          <w:sz w:val="20"/>
        </w:rPr>
        <w:t>“</w:t>
      </w:r>
      <w:r>
        <w:rPr>
          <w:rFonts w:ascii="Times New Roman" w:hAnsi="Times New Roman" w:cs="Times New Roman"/>
          <w:color w:val="000000"/>
          <w:sz w:val="20"/>
        </w:rPr>
        <w:t>in conformity</w:t>
      </w:r>
      <w:r>
        <w:rPr>
          <w:rFonts w:ascii="Times New Roman" w:hAnsi="Times New Roman" w:cs="Times New Roman"/>
          <w:color w:val="000000"/>
          <w:sz w:val="20"/>
        </w:rPr>
        <w:t xml:space="preserve"> with the general acceptance in the regulatory and scientific communities</w:t>
      </w:r>
      <w:r>
        <w:rPr>
          <w:rFonts w:ascii="Times New Roman" w:hAnsi="Times New Roman" w:cs="Times New Roman"/>
          <w:color w:val="000000"/>
          <w:sz w:val="20"/>
        </w:rPr>
        <w:t>”</w:t>
      </w:r>
      <w:r>
        <w:rPr>
          <w:rFonts w:ascii="Times New Roman" w:hAnsi="Times New Roman" w:cs="Times New Roman"/>
          <w:color w:val="000000"/>
          <w:sz w:val="20"/>
        </w:rPr>
        <w:t xml:space="preserve"> should be </w:t>
      </w:r>
      <w:r>
        <w:rPr>
          <w:rFonts w:ascii="Times New Roman" w:hAnsi="Times New Roman" w:cs="Times New Roman"/>
          <w:color w:val="000000"/>
          <w:sz w:val="20"/>
        </w:rPr>
        <w:t>“</w:t>
      </w:r>
      <w:r>
        <w:rPr>
          <w:rFonts w:ascii="Times New Roman" w:hAnsi="Times New Roman" w:cs="Times New Roman"/>
          <w:color w:val="000000"/>
          <w:sz w:val="20"/>
        </w:rPr>
        <w:t>published to the jury so we can look at it as it</w:t>
      </w:r>
      <w:r>
        <w:rPr>
          <w:rFonts w:ascii="Times New Roman" w:hAnsi="Times New Roman" w:cs="Times New Roman"/>
          <w:color w:val="000000"/>
          <w:sz w:val="20"/>
        </w:rPr>
        <w:t>’</w:t>
      </w:r>
      <w:r>
        <w:rPr>
          <w:rFonts w:ascii="Times New Roman" w:hAnsi="Times New Roman" w:cs="Times New Roman"/>
          <w:color w:val="000000"/>
          <w:sz w:val="20"/>
        </w:rPr>
        <w:t>s being read.</w:t>
      </w:r>
      <w:r>
        <w:rPr>
          <w:rFonts w:ascii="Times New Roman" w:hAnsi="Times New Roman" w:cs="Times New Roman"/>
          <w:color w:val="000000"/>
          <w:sz w:val="20"/>
        </w:rPr>
        <w:t>”</w:t>
      </w:r>
      <w:r>
        <w:rPr>
          <w:rFonts w:ascii="Times New Roman" w:hAnsi="Times New Roman" w:cs="Times New Roman"/>
          <w:color w:val="000000"/>
          <w:sz w:val="20"/>
        </w:rPr>
        <w:t xml:space="preserve"> The trial court said that it </w:t>
      </w:r>
      <w:r>
        <w:rPr>
          <w:rFonts w:ascii="Times New Roman" w:hAnsi="Times New Roman" w:cs="Times New Roman"/>
          <w:color w:val="000000"/>
          <w:sz w:val="20"/>
        </w:rPr>
        <w:t>“</w:t>
      </w:r>
      <w:r>
        <w:rPr>
          <w:rFonts w:ascii="Times New Roman" w:hAnsi="Times New Roman" w:cs="Times New Roman"/>
          <w:color w:val="000000"/>
          <w:sz w:val="20"/>
        </w:rPr>
        <w:t>ha[d not] heard yet a hearsay exception for allowing these documents which a</w:t>
      </w:r>
      <w:r>
        <w:rPr>
          <w:rFonts w:ascii="Times New Roman" w:hAnsi="Times New Roman" w:cs="Times New Roman"/>
          <w:color w:val="000000"/>
          <w:sz w:val="20"/>
        </w:rPr>
        <w:t>re not in evidence to be published to the jury,</w:t>
      </w:r>
      <w:r>
        <w:rPr>
          <w:rFonts w:ascii="Times New Roman" w:hAnsi="Times New Roman" w:cs="Times New Roman"/>
          <w:color w:val="000000"/>
          <w:sz w:val="20"/>
        </w:rPr>
        <w:t>”</w:t>
      </w:r>
      <w:r>
        <w:rPr>
          <w:rFonts w:ascii="Times New Roman" w:hAnsi="Times New Roman" w:cs="Times New Roman"/>
          <w:color w:val="000000"/>
          <w:sz w:val="20"/>
        </w:rPr>
        <w:t xml:space="preserve"> and Monsanto said it would file a brief later that day on the issue.</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Monsanto thereafter filed another trial brief, this time in support of admitting various EPA documents under the official-records except</w:t>
      </w:r>
      <w:r>
        <w:rPr>
          <w:rFonts w:ascii="Times New Roman" w:hAnsi="Times New Roman" w:cs="Times New Roman"/>
          <w:color w:val="000000"/>
          <w:sz w:val="20"/>
        </w:rPr>
        <w:t xml:space="preserve">ion to the hearsay rule. Monsanto submitted with its motion excerpts from (1) the September 2016 EPA glyphosate issue paper counsel had shown to Portier, and (2) a December 2017 EPA document tiled </w:t>
      </w:r>
      <w:r>
        <w:rPr>
          <w:rFonts w:ascii="Times New Roman" w:hAnsi="Times New Roman" w:cs="Times New Roman"/>
          <w:color w:val="000000"/>
          <w:sz w:val="20"/>
        </w:rPr>
        <w:t>“</w:t>
      </w:r>
      <w:r>
        <w:rPr>
          <w:rFonts w:ascii="Times New Roman" w:hAnsi="Times New Roman" w:cs="Times New Roman"/>
          <w:color w:val="000000"/>
          <w:sz w:val="20"/>
        </w:rPr>
        <w:t>Revised Glyphosate Issue Paper: Evaluation of Carcinogenic</w:t>
      </w:r>
      <w:r>
        <w:rPr>
          <w:rFonts w:ascii="Times New Roman" w:hAnsi="Times New Roman" w:cs="Times New Roman"/>
          <w:color w:val="000000"/>
          <w:sz w:val="20"/>
        </w:rPr>
        <w:t xml:space="preserve"> Potential.</w:t>
      </w:r>
      <w:r>
        <w:rPr>
          <w:rFonts w:ascii="Times New Roman" w:hAnsi="Times New Roman" w:cs="Times New Roman"/>
          <w:color w:val="000000"/>
          <w:sz w:val="20"/>
        </w:rPr>
        <w:t>”</w:t>
      </w:r>
      <w:r>
        <w:rPr>
          <w:rFonts w:ascii="Times New Roman" w:hAnsi="Times New Roman" w:cs="Times New Roman"/>
          <w:color w:val="000000"/>
          <w:sz w:val="20"/>
        </w:rPr>
        <w:t xml:space="preserve"> It also submitted a previous request for judicial notice of more than 30 EPA documents and materials from the Federal Register.</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48" w:name="co_pp_sp_999_23_1"/>
      <w:bookmarkEnd w:id="48"/>
      <w:r>
        <w:rPr>
          <w:rFonts w:ascii="Times New Roman" w:hAnsi="Times New Roman" w:cs="Times New Roman"/>
          <w:b/>
          <w:color w:val="000000"/>
          <w:sz w:val="20"/>
        </w:rPr>
        <w:t>*23</w:t>
      </w:r>
      <w:r>
        <w:rPr>
          <w:rFonts w:ascii="Times New Roman" w:hAnsi="Times New Roman" w:cs="Times New Roman"/>
          <w:color w:val="000000"/>
          <w:sz w:val="20"/>
        </w:rPr>
        <w:t xml:space="preserve"> In</w:t>
      </w:r>
      <w:r>
        <w:rPr>
          <w:rFonts w:ascii="Times New Roman" w:hAnsi="Times New Roman" w:cs="Times New Roman"/>
          <w:color w:val="000000"/>
          <w:sz w:val="20"/>
        </w:rPr>
        <w:t xml:space="preserve"> the middle of trial (before Johnson rested), the court held an afternoon session to rule on outstanding motions in limine, including the motion for admission of the EPA documents. The court noted that the motion mentioned only two EPA documents, but it ha</w:t>
      </w:r>
      <w:r>
        <w:rPr>
          <w:rFonts w:ascii="Times New Roman" w:hAnsi="Times New Roman" w:cs="Times New Roman"/>
          <w:color w:val="000000"/>
          <w:sz w:val="20"/>
        </w:rPr>
        <w:t xml:space="preserve">d been provided with </w:t>
      </w:r>
      <w:r>
        <w:rPr>
          <w:rFonts w:ascii="Times New Roman" w:hAnsi="Times New Roman" w:cs="Times New Roman"/>
          <w:color w:val="000000"/>
          <w:sz w:val="20"/>
        </w:rPr>
        <w:t>“</w:t>
      </w:r>
      <w:r>
        <w:rPr>
          <w:rFonts w:ascii="Times New Roman" w:hAnsi="Times New Roman" w:cs="Times New Roman"/>
          <w:color w:val="000000"/>
          <w:sz w:val="20"/>
        </w:rPr>
        <w:t>volumes and volumes of them.</w:t>
      </w:r>
      <w:r>
        <w:rPr>
          <w:rFonts w:ascii="Times New Roman" w:hAnsi="Times New Roman" w:cs="Times New Roman"/>
          <w:color w:val="000000"/>
          <w:sz w:val="20"/>
        </w:rPr>
        <w:t>”</w:t>
      </w:r>
      <w:r>
        <w:rPr>
          <w:rFonts w:ascii="Times New Roman" w:hAnsi="Times New Roman" w:cs="Times New Roman"/>
          <w:color w:val="000000"/>
          <w:sz w:val="20"/>
        </w:rPr>
        <w:t xml:space="preserve"> It stated that many of the documents given to the court were outdated, were drafts, and contained the opinions of many individuals, all of which meant they did not meet the public-records exception to the</w:t>
      </w:r>
      <w:r>
        <w:rPr>
          <w:rFonts w:ascii="Times New Roman" w:hAnsi="Times New Roman" w:cs="Times New Roman"/>
          <w:color w:val="000000"/>
          <w:sz w:val="20"/>
        </w:rPr>
        <w:t xml:space="preserve"> hearsay rule. (</w:t>
      </w:r>
      <w:r>
        <w:rPr>
          <w:rFonts w:ascii="Times New Roman" w:hAnsi="Times New Roman" w:cs="Times New Roman"/>
          <w:color w:val="0000FF"/>
          <w:sz w:val="20"/>
        </w:rPr>
        <w:t>Evid. Code, § 1280</w:t>
      </w:r>
      <w:r>
        <w:rPr>
          <w:rFonts w:ascii="Times New Roman" w:hAnsi="Times New Roman" w:cs="Times New Roman"/>
          <w:color w:val="000000"/>
          <w:sz w:val="20"/>
        </w:rPr>
        <w:t>.) Monsanto then argued that the documents went to Monsanto employees</w:t>
      </w:r>
      <w:r>
        <w:rPr>
          <w:rFonts w:ascii="Times New Roman" w:hAnsi="Times New Roman" w:cs="Times New Roman"/>
          <w:color w:val="000000"/>
          <w:sz w:val="20"/>
        </w:rPr>
        <w:t>’</w:t>
      </w:r>
      <w:r>
        <w:rPr>
          <w:rFonts w:ascii="Times New Roman" w:hAnsi="Times New Roman" w:cs="Times New Roman"/>
          <w:color w:val="000000"/>
          <w:sz w:val="20"/>
        </w:rPr>
        <w:t xml:space="preserve"> state of mind, to show it was reasonable for them to conclude that the </w:t>
      </w:r>
      <w:r>
        <w:rPr>
          <w:rFonts w:ascii="Times New Roman" w:hAnsi="Times New Roman" w:cs="Times New Roman"/>
          <w:color w:val="000000"/>
          <w:sz w:val="20"/>
        </w:rPr>
        <w:t>“</w:t>
      </w:r>
      <w:r>
        <w:rPr>
          <w:rFonts w:ascii="Times New Roman" w:hAnsi="Times New Roman" w:cs="Times New Roman"/>
          <w:color w:val="000000"/>
          <w:sz w:val="20"/>
        </w:rPr>
        <w:t>generally accepted science</w:t>
      </w:r>
      <w:r>
        <w:rPr>
          <w:rFonts w:ascii="Times New Roman" w:hAnsi="Times New Roman" w:cs="Times New Roman"/>
          <w:color w:val="000000"/>
          <w:sz w:val="20"/>
        </w:rPr>
        <w:t>”</w:t>
      </w:r>
      <w:r>
        <w:rPr>
          <w:rFonts w:ascii="Times New Roman" w:hAnsi="Times New Roman" w:cs="Times New Roman"/>
          <w:color w:val="000000"/>
          <w:sz w:val="20"/>
        </w:rPr>
        <w:t xml:space="preserve"> indicated glyphosate was safe. Counsel argued that </w:t>
      </w:r>
      <w:r>
        <w:rPr>
          <w:rFonts w:ascii="Times New Roman" w:hAnsi="Times New Roman" w:cs="Times New Roman"/>
          <w:color w:val="000000"/>
          <w:sz w:val="20"/>
        </w:rPr>
        <w:t xml:space="preserve">if the court rejected the hearsay exception, that Monsanto wanted the documents admitted </w:t>
      </w:r>
      <w:r>
        <w:rPr>
          <w:rFonts w:ascii="Times New Roman" w:hAnsi="Times New Roman" w:cs="Times New Roman"/>
          <w:color w:val="000000"/>
          <w:sz w:val="20"/>
        </w:rPr>
        <w:t>“</w:t>
      </w:r>
      <w:r>
        <w:rPr>
          <w:rFonts w:ascii="Times New Roman" w:hAnsi="Times New Roman" w:cs="Times New Roman"/>
          <w:color w:val="000000"/>
          <w:sz w:val="20"/>
        </w:rPr>
        <w:t xml:space="preserve">not for the truth of the matter. That is not for the truth of the matter in the documents regard[ing] ... whether glyphosate causes </w:t>
      </w:r>
      <w:r>
        <w:rPr>
          <w:rFonts w:ascii="Times New Roman" w:hAnsi="Times New Roman" w:cs="Times New Roman"/>
          <w:color w:val="0000FF"/>
          <w:sz w:val="20"/>
        </w:rPr>
        <w:t>cancer</w:t>
      </w:r>
      <w:r>
        <w:rPr>
          <w:rFonts w:ascii="Times New Roman" w:hAnsi="Times New Roman" w:cs="Times New Roman"/>
          <w:color w:val="000000"/>
          <w:sz w:val="20"/>
        </w:rPr>
        <w:t>. The relevant thing for tha</w:t>
      </w:r>
      <w:r>
        <w:rPr>
          <w:rFonts w:ascii="Times New Roman" w:hAnsi="Times New Roman" w:cs="Times New Roman"/>
          <w:color w:val="000000"/>
          <w:sz w:val="20"/>
        </w:rPr>
        <w:t>t purpose is what people believed, what people reported.</w:t>
      </w:r>
      <w:r>
        <w:rPr>
          <w:rFonts w:ascii="Times New Roman" w:hAnsi="Times New Roman" w:cs="Times New Roman"/>
          <w:color w:val="000000"/>
          <w:sz w:val="20"/>
        </w:rPr>
        <w:t>”</w:t>
      </w:r>
      <w:r>
        <w:rPr>
          <w:rFonts w:ascii="Times New Roman" w:hAnsi="Times New Roman" w:cs="Times New Roman"/>
          <w:color w:val="000000"/>
          <w:sz w:val="20"/>
        </w:rPr>
        <w:t xml:space="preserve"> After further questioning by the court, counsel focused on the two glyphosate issue papers submitted with its brief. Over Johnson</w:t>
      </w:r>
      <w:r>
        <w:rPr>
          <w:rFonts w:ascii="Times New Roman" w:hAnsi="Times New Roman" w:cs="Times New Roman"/>
          <w:color w:val="000000"/>
          <w:sz w:val="20"/>
        </w:rPr>
        <w:t>’</w:t>
      </w:r>
      <w:r>
        <w:rPr>
          <w:rFonts w:ascii="Times New Roman" w:hAnsi="Times New Roman" w:cs="Times New Roman"/>
          <w:color w:val="000000"/>
          <w:sz w:val="20"/>
        </w:rPr>
        <w:t>s objection, the trial court said it was open to admitting the two d</w:t>
      </w:r>
      <w:r>
        <w:rPr>
          <w:rFonts w:ascii="Times New Roman" w:hAnsi="Times New Roman" w:cs="Times New Roman"/>
          <w:color w:val="000000"/>
          <w:sz w:val="20"/>
        </w:rPr>
        <w:t>ocuments to show state of mind and asked Monsanto</w:t>
      </w:r>
      <w:r>
        <w:rPr>
          <w:rFonts w:ascii="Times New Roman" w:hAnsi="Times New Roman" w:cs="Times New Roman"/>
          <w:color w:val="000000"/>
          <w:sz w:val="20"/>
        </w:rPr>
        <w:t>’</w:t>
      </w:r>
      <w:r>
        <w:rPr>
          <w:rFonts w:ascii="Times New Roman" w:hAnsi="Times New Roman" w:cs="Times New Roman"/>
          <w:color w:val="000000"/>
          <w:sz w:val="20"/>
        </w:rPr>
        <w:t>s counsel to draft a limiting instruction.</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Ultimately two documents</w:t>
      </w:r>
      <w:r>
        <w:rPr>
          <w:rFonts w:ascii="Times New Roman" w:hAnsi="Times New Roman" w:cs="Times New Roman"/>
          <w:color w:val="000000"/>
          <w:sz w:val="20"/>
        </w:rPr>
        <w:t>—</w:t>
      </w:r>
      <w:r>
        <w:rPr>
          <w:rFonts w:ascii="Times New Roman" w:hAnsi="Times New Roman" w:cs="Times New Roman"/>
          <w:color w:val="000000"/>
          <w:sz w:val="20"/>
        </w:rPr>
        <w:t xml:space="preserve">the September 2016 EPA glyphosate issue paper and a September 1993 EPA </w:t>
      </w:r>
      <w:r>
        <w:rPr>
          <w:rFonts w:ascii="Times New Roman" w:hAnsi="Times New Roman" w:cs="Times New Roman"/>
          <w:color w:val="000000"/>
          <w:sz w:val="20"/>
        </w:rPr>
        <w:t>“</w:t>
      </w:r>
      <w:r>
        <w:rPr>
          <w:rFonts w:ascii="Times New Roman" w:hAnsi="Times New Roman" w:cs="Times New Roman"/>
          <w:color w:val="000000"/>
          <w:sz w:val="20"/>
        </w:rPr>
        <w:t>Reregistration Eligibility Decision</w:t>
      </w:r>
      <w:r>
        <w:rPr>
          <w:rFonts w:ascii="Times New Roman" w:hAnsi="Times New Roman" w:cs="Times New Roman"/>
          <w:color w:val="000000"/>
          <w:sz w:val="20"/>
        </w:rPr>
        <w:t>”</w:t>
      </w:r>
      <w:r>
        <w:rPr>
          <w:rFonts w:ascii="Times New Roman" w:hAnsi="Times New Roman" w:cs="Times New Roman"/>
          <w:color w:val="000000"/>
          <w:sz w:val="20"/>
        </w:rPr>
        <w:t xml:space="preserve"> on glyphosate</w:t>
      </w:r>
      <w:r>
        <w:rPr>
          <w:rFonts w:ascii="Times New Roman" w:hAnsi="Times New Roman" w:cs="Times New Roman"/>
          <w:color w:val="000000"/>
          <w:sz w:val="20"/>
        </w:rPr>
        <w:t>—</w:t>
      </w:r>
      <w:r>
        <w:rPr>
          <w:rFonts w:ascii="Times New Roman" w:hAnsi="Times New Roman" w:cs="Times New Roman"/>
          <w:color w:val="000000"/>
          <w:sz w:val="20"/>
        </w:rPr>
        <w:t>were admitted</w:t>
      </w:r>
      <w:r>
        <w:rPr>
          <w:rFonts w:ascii="Times New Roman" w:hAnsi="Times New Roman" w:cs="Times New Roman"/>
          <w:color w:val="000000"/>
          <w:sz w:val="20"/>
        </w:rPr>
        <w:t xml:space="preserve"> for the limited purpose of showing Monsanto</w:t>
      </w:r>
      <w:r>
        <w:rPr>
          <w:rFonts w:ascii="Times New Roman" w:hAnsi="Times New Roman" w:cs="Times New Roman"/>
          <w:color w:val="000000"/>
          <w:sz w:val="20"/>
        </w:rPr>
        <w:t>’</w:t>
      </w:r>
      <w:r>
        <w:rPr>
          <w:rFonts w:ascii="Times New Roman" w:hAnsi="Times New Roman" w:cs="Times New Roman"/>
          <w:color w:val="000000"/>
          <w:sz w:val="20"/>
        </w:rPr>
        <w:t xml:space="preserve">s state of mind regarding the science </w:t>
      </w:r>
      <w:r>
        <w:rPr>
          <w:rFonts w:ascii="Times New Roman" w:hAnsi="Times New Roman" w:cs="Times New Roman"/>
          <w:color w:val="000000"/>
          <w:sz w:val="20"/>
        </w:rPr>
        <w:t>on glyphosate.</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49" w:name="co_anchor_I2f96de51cad611eaad728cad1da01"/>
      <w:bookmarkEnd w:id="49"/>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600" w:after="200"/>
        <w:jc w:val="center"/>
        <w:rPr>
          <w:rFonts w:ascii="Times New Roman" w:hAnsi="Times New Roman" w:cs="Times New Roman"/>
          <w:color w:val="000000"/>
          <w:sz w:val="20"/>
        </w:rPr>
      </w:pPr>
      <w:r>
        <w:rPr>
          <w:rFonts w:ascii="Times New Roman" w:hAnsi="Times New Roman" w:cs="Times New Roman"/>
          <w:color w:val="000000"/>
          <w:sz w:val="20"/>
        </w:rPr>
        <w:t>2. Analysis.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On appeal, Monsanto argues that the judgment should be revers</w:t>
      </w:r>
      <w:r>
        <w:rPr>
          <w:rFonts w:ascii="Times New Roman" w:hAnsi="Times New Roman" w:cs="Times New Roman"/>
          <w:color w:val="000000"/>
          <w:sz w:val="20"/>
        </w:rPr>
        <w:t xml:space="preserve">ed and the matter remanded for a new trial </w:t>
      </w:r>
      <w:r>
        <w:rPr>
          <w:rFonts w:ascii="Times New Roman" w:hAnsi="Times New Roman" w:cs="Times New Roman"/>
          <w:color w:val="000000"/>
          <w:sz w:val="20"/>
        </w:rPr>
        <w:t>“</w:t>
      </w:r>
      <w:r>
        <w:rPr>
          <w:rFonts w:ascii="Times New Roman" w:hAnsi="Times New Roman" w:cs="Times New Roman"/>
          <w:color w:val="000000"/>
          <w:sz w:val="20"/>
        </w:rPr>
        <w:t>because the trial court abused its discretion by excluding EPA and foreign regulatory documents offered by Monsanto while admitting the IARC document offered by Plaintiff.</w:t>
      </w:r>
      <w:r>
        <w:rPr>
          <w:rFonts w:ascii="Times New Roman" w:hAnsi="Times New Roman" w:cs="Times New Roman"/>
          <w:color w:val="000000"/>
          <w:sz w:val="20"/>
        </w:rPr>
        <w:t>”</w:t>
      </w:r>
      <w:r>
        <w:rPr>
          <w:rFonts w:ascii="Times New Roman" w:hAnsi="Times New Roman" w:cs="Times New Roman"/>
          <w:color w:val="000000"/>
          <w:sz w:val="20"/>
        </w:rPr>
        <w:t xml:space="preserve"> (Bold omitted.) We disagree.</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True eno</w:t>
      </w:r>
      <w:r>
        <w:rPr>
          <w:rFonts w:ascii="Times New Roman" w:hAnsi="Times New Roman" w:cs="Times New Roman"/>
          <w:color w:val="000000"/>
          <w:sz w:val="20"/>
        </w:rPr>
        <w:t xml:space="preserve">ugh, </w:t>
      </w:r>
      <w:r>
        <w:rPr>
          <w:rFonts w:ascii="Times New Roman" w:hAnsi="Times New Roman" w:cs="Times New Roman"/>
          <w:color w:val="000000"/>
          <w:sz w:val="20"/>
        </w:rPr>
        <w:t>“</w:t>
      </w:r>
      <w:r>
        <w:rPr>
          <w:rFonts w:ascii="Times New Roman" w:hAnsi="Times New Roman" w:cs="Times New Roman"/>
          <w:color w:val="000000"/>
          <w:sz w:val="20"/>
        </w:rPr>
        <w:t>a writing made as a record of an act, condition, or event</w:t>
      </w:r>
      <w:r>
        <w:rPr>
          <w:rFonts w:ascii="Times New Roman" w:hAnsi="Times New Roman" w:cs="Times New Roman"/>
          <w:color w:val="000000"/>
          <w:sz w:val="20"/>
        </w:rPr>
        <w:t>”</w:t>
      </w:r>
      <w:r>
        <w:rPr>
          <w:rFonts w:ascii="Times New Roman" w:hAnsi="Times New Roman" w:cs="Times New Roman"/>
          <w:color w:val="000000"/>
          <w:sz w:val="20"/>
        </w:rPr>
        <w:t xml:space="preserve"> is admissible </w:t>
      </w:r>
      <w:r>
        <w:rPr>
          <w:rFonts w:ascii="Times New Roman" w:hAnsi="Times New Roman" w:cs="Times New Roman"/>
          <w:color w:val="000000"/>
          <w:sz w:val="20"/>
        </w:rPr>
        <w:t>“</w:t>
      </w:r>
      <w:r>
        <w:rPr>
          <w:rFonts w:ascii="Times New Roman" w:hAnsi="Times New Roman" w:cs="Times New Roman"/>
          <w:color w:val="000000"/>
          <w:sz w:val="20"/>
        </w:rPr>
        <w:t>to prove the act, condition, or event</w:t>
      </w:r>
      <w:r>
        <w:rPr>
          <w:rFonts w:ascii="Times New Roman" w:hAnsi="Times New Roman" w:cs="Times New Roman"/>
          <w:color w:val="000000"/>
          <w:sz w:val="20"/>
        </w:rPr>
        <w:t>”</w:t>
      </w:r>
      <w:r>
        <w:rPr>
          <w:rFonts w:ascii="Times New Roman" w:hAnsi="Times New Roman" w:cs="Times New Roman"/>
          <w:color w:val="000000"/>
          <w:sz w:val="20"/>
        </w:rPr>
        <w:t xml:space="preserve"> if (a) the writing was made by and within the scope of a public employee</w:t>
      </w:r>
      <w:r>
        <w:rPr>
          <w:rFonts w:ascii="Times New Roman" w:hAnsi="Times New Roman" w:cs="Times New Roman"/>
          <w:color w:val="000000"/>
          <w:sz w:val="20"/>
        </w:rPr>
        <w:t>’</w:t>
      </w:r>
      <w:r>
        <w:rPr>
          <w:rFonts w:ascii="Times New Roman" w:hAnsi="Times New Roman" w:cs="Times New Roman"/>
          <w:color w:val="000000"/>
          <w:sz w:val="20"/>
        </w:rPr>
        <w:t>s duty, (b) the writing was made at or near the time of the act,</w:t>
      </w:r>
      <w:r>
        <w:rPr>
          <w:rFonts w:ascii="Times New Roman" w:hAnsi="Times New Roman" w:cs="Times New Roman"/>
          <w:color w:val="000000"/>
          <w:sz w:val="20"/>
        </w:rPr>
        <w:t xml:space="preserve"> condition, or event, and (c) the sources of information and method and time of preparation were such as to indicate its trustworthiness. (</w:t>
      </w:r>
      <w:r>
        <w:rPr>
          <w:rFonts w:ascii="Times New Roman" w:hAnsi="Times New Roman" w:cs="Times New Roman"/>
          <w:color w:val="0000FF"/>
          <w:sz w:val="20"/>
        </w:rPr>
        <w:t>Evid. Code, § 1280</w:t>
      </w:r>
      <w:r>
        <w:rPr>
          <w:rFonts w:ascii="Times New Roman" w:hAnsi="Times New Roman" w:cs="Times New Roman"/>
          <w:color w:val="000000"/>
          <w:sz w:val="20"/>
        </w:rPr>
        <w:t xml:space="preserve">.) But although Monsanto contends that unspecified regulatory reports it offered </w:t>
      </w:r>
      <w:r>
        <w:rPr>
          <w:rFonts w:ascii="Times New Roman" w:hAnsi="Times New Roman" w:cs="Times New Roman"/>
          <w:color w:val="000000"/>
          <w:sz w:val="20"/>
        </w:rPr>
        <w:t>“</w:t>
      </w:r>
      <w:r>
        <w:rPr>
          <w:rFonts w:ascii="Times New Roman" w:hAnsi="Times New Roman" w:cs="Times New Roman"/>
          <w:color w:val="000000"/>
          <w:sz w:val="20"/>
        </w:rPr>
        <w:t>easily satisfied</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FF"/>
          <w:sz w:val="20"/>
        </w:rPr>
        <w:t>section 1280</w:t>
      </w:r>
      <w:r>
        <w:rPr>
          <w:rFonts w:ascii="Times New Roman" w:hAnsi="Times New Roman" w:cs="Times New Roman"/>
          <w:color w:val="000000"/>
          <w:sz w:val="20"/>
        </w:rPr>
        <w:t>’</w:t>
      </w:r>
      <w:r>
        <w:rPr>
          <w:rFonts w:ascii="Times New Roman" w:hAnsi="Times New Roman" w:cs="Times New Roman"/>
          <w:color w:val="000000"/>
          <w:sz w:val="20"/>
        </w:rPr>
        <w:t xml:space="preserve">s requirements, it does not demonstrate how any individual document met those requirements. For example, Monsanto lists four documents (the 2017 EPA revised glyphosate issue paper discussed above and three foreign regulatory documents) as </w:t>
      </w:r>
      <w:r>
        <w:rPr>
          <w:rFonts w:ascii="Times New Roman" w:hAnsi="Times New Roman" w:cs="Times New Roman"/>
          <w:color w:val="000000"/>
          <w:sz w:val="20"/>
        </w:rPr>
        <w:t>“</w:t>
      </w:r>
      <w:r>
        <w:rPr>
          <w:rFonts w:ascii="Times New Roman" w:hAnsi="Times New Roman" w:cs="Times New Roman"/>
          <w:color w:val="000000"/>
          <w:sz w:val="20"/>
        </w:rPr>
        <w:t>[j</w:t>
      </w:r>
      <w:r>
        <w:rPr>
          <w:rFonts w:ascii="Times New Roman" w:hAnsi="Times New Roman" w:cs="Times New Roman"/>
          <w:color w:val="000000"/>
          <w:sz w:val="20"/>
        </w:rPr>
        <w:t>]ust some of the excluded evidence</w:t>
      </w:r>
      <w:r>
        <w:rPr>
          <w:rFonts w:ascii="Times New Roman" w:hAnsi="Times New Roman" w:cs="Times New Roman"/>
          <w:color w:val="000000"/>
          <w:sz w:val="20"/>
        </w:rPr>
        <w:t>”</w:t>
      </w:r>
      <w:r>
        <w:rPr>
          <w:rFonts w:ascii="Times New Roman" w:hAnsi="Times New Roman" w:cs="Times New Roman"/>
          <w:color w:val="000000"/>
          <w:sz w:val="20"/>
        </w:rPr>
        <w:t xml:space="preserve"> that should have been admitted, without explaining how any of them satisfy a hearsay exception. And with respect to the three foreign regulatory documents, Monsanto does not even direct this court to anywhere in the reco</w:t>
      </w:r>
      <w:r>
        <w:rPr>
          <w:rFonts w:ascii="Times New Roman" w:hAnsi="Times New Roman" w:cs="Times New Roman"/>
          <w:color w:val="000000"/>
          <w:sz w:val="20"/>
        </w:rPr>
        <w:t xml:space="preserve">rd where it sought admission under </w:t>
      </w:r>
      <w:r>
        <w:rPr>
          <w:rFonts w:ascii="Times New Roman" w:hAnsi="Times New Roman" w:cs="Times New Roman"/>
          <w:color w:val="0000FF"/>
          <w:sz w:val="20"/>
        </w:rPr>
        <w:t>section 1280</w:t>
      </w:r>
      <w:r>
        <w:rPr>
          <w:rFonts w:ascii="Times New Roman" w:hAnsi="Times New Roman" w:cs="Times New Roman"/>
          <w:color w:val="000000"/>
          <w:sz w:val="20"/>
        </w:rPr>
        <w:t>, let alone how (or whether) the trial court ruled on the request(s).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Monsanto</w:t>
      </w:r>
      <w:r>
        <w:rPr>
          <w:rFonts w:ascii="Times New Roman" w:hAnsi="Times New Roman" w:cs="Times New Roman"/>
          <w:color w:val="000000"/>
          <w:sz w:val="20"/>
        </w:rPr>
        <w:t>’</w:t>
      </w:r>
      <w:r>
        <w:rPr>
          <w:rFonts w:ascii="Times New Roman" w:hAnsi="Times New Roman" w:cs="Times New Roman"/>
          <w:color w:val="000000"/>
          <w:sz w:val="20"/>
        </w:rPr>
        <w:t xml:space="preserve">s reliance on </w:t>
      </w:r>
      <w:r>
        <w:rPr>
          <w:rFonts w:ascii="Times New Roman" w:hAnsi="Times New Roman" w:cs="Times New Roman"/>
          <w:i/>
          <w:color w:val="0000FF"/>
          <w:sz w:val="20"/>
        </w:rPr>
        <w:t>People v. ConAgra Grocery Products Co.</w:t>
      </w:r>
      <w:r>
        <w:rPr>
          <w:rFonts w:ascii="Times New Roman" w:hAnsi="Times New Roman" w:cs="Times New Roman"/>
          <w:color w:val="0000FF"/>
          <w:sz w:val="20"/>
        </w:rPr>
        <w:t xml:space="preserve"> (2017) 17 Cal.App.5th 51</w:t>
      </w:r>
      <w:r>
        <w:rPr>
          <w:rFonts w:ascii="Times New Roman" w:hAnsi="Times New Roman" w:cs="Times New Roman"/>
          <w:color w:val="000000"/>
          <w:sz w:val="20"/>
        </w:rPr>
        <w:t xml:space="preserve"> is misplaced. There, the court held only that it c</w:t>
      </w:r>
      <w:r>
        <w:rPr>
          <w:rFonts w:ascii="Times New Roman" w:hAnsi="Times New Roman" w:cs="Times New Roman"/>
          <w:color w:val="000000"/>
          <w:sz w:val="20"/>
        </w:rPr>
        <w:t>ould find no abuse of discretion in the trial court</w:t>
      </w:r>
      <w:r>
        <w:rPr>
          <w:rFonts w:ascii="Times New Roman" w:hAnsi="Times New Roman" w:cs="Times New Roman"/>
          <w:color w:val="000000"/>
          <w:sz w:val="20"/>
        </w:rPr>
        <w:t>’</w:t>
      </w:r>
      <w:r>
        <w:rPr>
          <w:rFonts w:ascii="Times New Roman" w:hAnsi="Times New Roman" w:cs="Times New Roman"/>
          <w:color w:val="000000"/>
          <w:sz w:val="20"/>
        </w:rPr>
        <w:t>s decisions to admit various government documents during testimony by experts who had helped draft them. (</w:t>
      </w:r>
      <w:r>
        <w:rPr>
          <w:rFonts w:ascii="Times New Roman" w:hAnsi="Times New Roman" w:cs="Times New Roman"/>
          <w:i/>
          <w:color w:val="0000FF"/>
          <w:sz w:val="20"/>
        </w:rPr>
        <w:t>Id.</w:t>
      </w:r>
      <w:r>
        <w:rPr>
          <w:rFonts w:ascii="Times New Roman" w:hAnsi="Times New Roman" w:cs="Times New Roman"/>
          <w:color w:val="0000FF"/>
          <w:sz w:val="20"/>
        </w:rPr>
        <w:t xml:space="preserve"> at pp. 138</w:t>
      </w:r>
      <w:r>
        <w:rPr>
          <w:rFonts w:ascii="Times New Roman" w:hAnsi="Times New Roman" w:cs="Times New Roman"/>
          <w:color w:val="0000FF"/>
          <w:sz w:val="20"/>
        </w:rPr>
        <w:t>–</w:t>
      </w:r>
      <w:r>
        <w:rPr>
          <w:rFonts w:ascii="Times New Roman" w:hAnsi="Times New Roman" w:cs="Times New Roman"/>
          <w:color w:val="0000FF"/>
          <w:sz w:val="20"/>
        </w:rPr>
        <w:t>140</w:t>
      </w:r>
      <w:r>
        <w:rPr>
          <w:rFonts w:ascii="Times New Roman" w:hAnsi="Times New Roman" w:cs="Times New Roman"/>
          <w:color w:val="000000"/>
          <w:sz w:val="20"/>
        </w:rPr>
        <w:t>.) The case does not stand for the broad proposition that regulatory documents a</w:t>
      </w:r>
      <w:r>
        <w:rPr>
          <w:rFonts w:ascii="Times New Roman" w:hAnsi="Times New Roman" w:cs="Times New Roman"/>
          <w:color w:val="000000"/>
          <w:sz w:val="20"/>
        </w:rPr>
        <w:t>re generally admissible, especially here where Monsanto</w:t>
      </w:r>
      <w:r>
        <w:rPr>
          <w:rFonts w:ascii="Times New Roman" w:hAnsi="Times New Roman" w:cs="Times New Roman"/>
          <w:color w:val="000000"/>
          <w:sz w:val="20"/>
        </w:rPr>
        <w:t>’</w:t>
      </w:r>
      <w:r>
        <w:rPr>
          <w:rFonts w:ascii="Times New Roman" w:hAnsi="Times New Roman" w:cs="Times New Roman"/>
          <w:color w:val="000000"/>
          <w:sz w:val="20"/>
        </w:rPr>
        <w:t>s appellate briefing falls far short of establishing that the trial court abused its discretion. Monsanto has not established error.</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50" w:name="co_anchor_I2f994f51cad611eaad728cad1da01"/>
      <w:bookmarkEnd w:id="50"/>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400"/>
        <w:ind w:left="200"/>
        <w:rPr>
          <w:rFonts w:ascii="Times New Roman" w:hAnsi="Times New Roman" w:cs="Times New Roman"/>
          <w:i/>
          <w:color w:val="000000"/>
          <w:sz w:val="20"/>
        </w:rPr>
      </w:pPr>
      <w:r>
        <w:rPr>
          <w:rFonts w:ascii="Times New Roman" w:hAnsi="Times New Roman" w:cs="Times New Roman"/>
          <w:i/>
          <w:color w:val="000000"/>
          <w:sz w:val="20"/>
        </w:rPr>
        <w:t xml:space="preserve">C. A Portion of the Award of Compensatory Damages </w:t>
      </w:r>
      <w:r>
        <w:rPr>
          <w:rFonts w:ascii="Times New Roman" w:hAnsi="Times New Roman" w:cs="Times New Roman"/>
          <w:i/>
          <w:color w:val="000000"/>
          <w:sz w:val="20"/>
        </w:rPr>
        <w:lastRenderedPageBreak/>
        <w:t>Should Be Reduced, and as a Consequence, the Award of Punitive Damages Should Be Reduced.</w:t>
      </w:r>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600" w:after="200"/>
        <w:jc w:val="center"/>
        <w:rPr>
          <w:rFonts w:ascii="Times New Roman" w:hAnsi="Times New Roman" w:cs="Times New Roman"/>
          <w:color w:val="000000"/>
          <w:sz w:val="20"/>
        </w:rPr>
      </w:pPr>
      <w:r>
        <w:rPr>
          <w:rFonts w:ascii="Times New Roman" w:hAnsi="Times New Roman" w:cs="Times New Roman"/>
          <w:color w:val="000000"/>
          <w:sz w:val="20"/>
        </w:rPr>
        <w:t>1. Additional background.</w:t>
      </w:r>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600" w:after="200"/>
        <w:jc w:val="center"/>
        <w:rPr>
          <w:rFonts w:ascii="Times New Roman" w:hAnsi="Times New Roman" w:cs="Times New Roman"/>
          <w:color w:val="000000"/>
          <w:sz w:val="20"/>
        </w:rPr>
      </w:pPr>
      <w:r>
        <w:rPr>
          <w:rFonts w:ascii="Times New Roman" w:hAnsi="Times New Roman" w:cs="Times New Roman"/>
          <w:color w:val="000000"/>
          <w:sz w:val="20"/>
        </w:rPr>
        <w:t>a. Closing arguments.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Toward the beginning of Johnson</w:t>
      </w:r>
      <w:r>
        <w:rPr>
          <w:rFonts w:ascii="Times New Roman" w:hAnsi="Times New Roman" w:cs="Times New Roman"/>
          <w:color w:val="000000"/>
          <w:sz w:val="20"/>
        </w:rPr>
        <w:t>’</w:t>
      </w:r>
      <w:r>
        <w:rPr>
          <w:rFonts w:ascii="Times New Roman" w:hAnsi="Times New Roman" w:cs="Times New Roman"/>
          <w:color w:val="000000"/>
          <w:sz w:val="20"/>
        </w:rPr>
        <w:t>s attorney</w:t>
      </w:r>
      <w:r>
        <w:rPr>
          <w:rFonts w:ascii="Times New Roman" w:hAnsi="Times New Roman" w:cs="Times New Roman"/>
          <w:color w:val="000000"/>
          <w:sz w:val="20"/>
        </w:rPr>
        <w:t>’</w:t>
      </w:r>
      <w:r>
        <w:rPr>
          <w:rFonts w:ascii="Times New Roman" w:hAnsi="Times New Roman" w:cs="Times New Roman"/>
          <w:color w:val="000000"/>
          <w:sz w:val="20"/>
        </w:rPr>
        <w:t>s clos</w:t>
      </w:r>
      <w:r>
        <w:rPr>
          <w:rFonts w:ascii="Times New Roman" w:hAnsi="Times New Roman" w:cs="Times New Roman"/>
          <w:color w:val="000000"/>
          <w:sz w:val="20"/>
        </w:rPr>
        <w:t xml:space="preserve">ing argument, counsel faulted Monsanto for not putting </w:t>
      </w:r>
      <w:r>
        <w:rPr>
          <w:rFonts w:ascii="Times New Roman" w:hAnsi="Times New Roman" w:cs="Times New Roman"/>
          <w:color w:val="0000FF"/>
          <w:sz w:val="20"/>
        </w:rPr>
        <w:t>cancer</w:t>
      </w:r>
      <w:r>
        <w:rPr>
          <w:rFonts w:ascii="Times New Roman" w:hAnsi="Times New Roman" w:cs="Times New Roman"/>
          <w:color w:val="000000"/>
          <w:sz w:val="20"/>
        </w:rPr>
        <w:t xml:space="preserve"> warning labels on Roundup products and argued that this was a </w:t>
      </w:r>
      <w:r>
        <w:rPr>
          <w:rFonts w:ascii="Times New Roman" w:hAnsi="Times New Roman" w:cs="Times New Roman"/>
          <w:color w:val="000000"/>
          <w:sz w:val="20"/>
        </w:rPr>
        <w:t>“</w:t>
      </w:r>
      <w:r>
        <w:rPr>
          <w:rFonts w:ascii="Times New Roman" w:hAnsi="Times New Roman" w:cs="Times New Roman"/>
          <w:color w:val="000000"/>
          <w:sz w:val="20"/>
        </w:rPr>
        <w:t>choice that reflects reckless disregard for human health. It is a choice that Monsanto made and today is their day of reckoning.</w:t>
      </w:r>
      <w:r>
        <w:rPr>
          <w:rFonts w:ascii="Times New Roman" w:hAnsi="Times New Roman" w:cs="Times New Roman"/>
          <w:color w:val="000000"/>
          <w:sz w:val="20"/>
        </w:rPr>
        <w:t>”</w:t>
      </w:r>
      <w:r>
        <w:rPr>
          <w:rFonts w:ascii="Times New Roman" w:hAnsi="Times New Roman" w:cs="Times New Roman"/>
          <w:color w:val="000000"/>
          <w:sz w:val="20"/>
        </w:rPr>
        <w:t xml:space="preserve"> C</w:t>
      </w:r>
      <w:r>
        <w:rPr>
          <w:rFonts w:ascii="Times New Roman" w:hAnsi="Times New Roman" w:cs="Times New Roman"/>
          <w:color w:val="000000"/>
          <w:sz w:val="20"/>
        </w:rPr>
        <w:t xml:space="preserve">ounsel continued, without objection: </w:t>
      </w:r>
      <w:r>
        <w:rPr>
          <w:rFonts w:ascii="Times New Roman" w:hAnsi="Times New Roman" w:cs="Times New Roman"/>
          <w:color w:val="000000"/>
          <w:sz w:val="20"/>
        </w:rPr>
        <w:t>“</w:t>
      </w:r>
      <w:r>
        <w:rPr>
          <w:rFonts w:ascii="Times New Roman" w:hAnsi="Times New Roman" w:cs="Times New Roman"/>
          <w:color w:val="000000"/>
          <w:sz w:val="20"/>
        </w:rPr>
        <w:t xml:space="preserve">Every single </w:t>
      </w:r>
      <w:r>
        <w:rPr>
          <w:rFonts w:ascii="Times New Roman" w:hAnsi="Times New Roman" w:cs="Times New Roman"/>
          <w:color w:val="0000FF"/>
          <w:sz w:val="20"/>
        </w:rPr>
        <w:t>cancer</w:t>
      </w:r>
      <w:r>
        <w:rPr>
          <w:rFonts w:ascii="Times New Roman" w:hAnsi="Times New Roman" w:cs="Times New Roman"/>
          <w:color w:val="000000"/>
          <w:sz w:val="20"/>
        </w:rPr>
        <w:t xml:space="preserve"> risk that has been found has this moment, every single one, where the science finally caught up, where they couldn</w:t>
      </w:r>
      <w:r>
        <w:rPr>
          <w:rFonts w:ascii="Times New Roman" w:hAnsi="Times New Roman" w:cs="Times New Roman"/>
          <w:color w:val="000000"/>
          <w:sz w:val="20"/>
        </w:rPr>
        <w:t>’</w:t>
      </w:r>
      <w:r>
        <w:rPr>
          <w:rFonts w:ascii="Times New Roman" w:hAnsi="Times New Roman" w:cs="Times New Roman"/>
          <w:color w:val="000000"/>
          <w:sz w:val="20"/>
        </w:rPr>
        <w:t>t bury it anymore, where the truth got shown to 12 people sitting in a jury box mak</w:t>
      </w:r>
      <w:r>
        <w:rPr>
          <w:rFonts w:ascii="Times New Roman" w:hAnsi="Times New Roman" w:cs="Times New Roman"/>
          <w:color w:val="000000"/>
          <w:sz w:val="20"/>
        </w:rPr>
        <w:t xml:space="preserve">ing a true and honest decision, and that is this day. This is the day Monsanto is finally held accountable, and this is the beginning of that day. Because after this trial is over, after you return a verdict that says, </w:t>
      </w:r>
      <w:r>
        <w:rPr>
          <w:rFonts w:ascii="Times New Roman" w:hAnsi="Times New Roman" w:cs="Times New Roman"/>
          <w:color w:val="000000"/>
          <w:sz w:val="20"/>
        </w:rPr>
        <w:t>‘</w:t>
      </w:r>
      <w:r>
        <w:rPr>
          <w:rFonts w:ascii="Times New Roman" w:hAnsi="Times New Roman" w:cs="Times New Roman"/>
          <w:color w:val="000000"/>
          <w:sz w:val="20"/>
        </w:rPr>
        <w:t>Monsanto, no more. Warn. Call people</w:t>
      </w:r>
      <w:r>
        <w:rPr>
          <w:rFonts w:ascii="Times New Roman" w:hAnsi="Times New Roman" w:cs="Times New Roman"/>
          <w:color w:val="000000"/>
          <w:sz w:val="20"/>
        </w:rPr>
        <w:t xml:space="preserve"> back. Do the studies that you needed to do for 30 years, studies that the EPA asked them to do in the </w:t>
      </w:r>
      <w:r>
        <w:rPr>
          <w:rFonts w:ascii="Times New Roman" w:hAnsi="Times New Roman" w:cs="Times New Roman"/>
          <w:color w:val="000000"/>
          <w:sz w:val="20"/>
        </w:rPr>
        <w:t>’</w:t>
      </w:r>
      <w:r>
        <w:rPr>
          <w:rFonts w:ascii="Times New Roman" w:hAnsi="Times New Roman" w:cs="Times New Roman"/>
          <w:color w:val="000000"/>
          <w:sz w:val="20"/>
        </w:rPr>
        <w:t>80s. Do your job.</w:t>
      </w:r>
      <w:r>
        <w:rPr>
          <w:rFonts w:ascii="Times New Roman" w:hAnsi="Times New Roman" w:cs="Times New Roman"/>
          <w:color w:val="000000"/>
          <w:sz w:val="20"/>
        </w:rPr>
        <w:t>’</w:t>
      </w:r>
      <w:r>
        <w:rPr>
          <w:rFonts w:ascii="Times New Roman" w:hAnsi="Times New Roman" w:cs="Times New Roman"/>
          <w:color w:val="000000"/>
          <w:sz w:val="20"/>
        </w:rPr>
        <w:t xml:space="preserve"> [¶] And if you return a verdict today that does that, that actually changes the world. I mean, it</w:t>
      </w:r>
      <w:r>
        <w:rPr>
          <w:rFonts w:ascii="Times New Roman" w:hAnsi="Times New Roman" w:cs="Times New Roman"/>
          <w:color w:val="000000"/>
          <w:sz w:val="20"/>
        </w:rPr>
        <w:t>’</w:t>
      </w:r>
      <w:r>
        <w:rPr>
          <w:rFonts w:ascii="Times New Roman" w:hAnsi="Times New Roman" w:cs="Times New Roman"/>
          <w:color w:val="000000"/>
          <w:sz w:val="20"/>
        </w:rPr>
        <w:t xml:space="preserve">s crazy to say that; right? I told </w:t>
      </w:r>
      <w:r>
        <w:rPr>
          <w:rFonts w:ascii="Times New Roman" w:hAnsi="Times New Roman" w:cs="Times New Roman"/>
          <w:color w:val="000000"/>
          <w:sz w:val="20"/>
        </w:rPr>
        <w:t>you all at the beginning of this trial that you were part of history, and you really are, and so let me just say thank you.</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51" w:name="co_pp_sp_999_24_1"/>
      <w:bookmarkEnd w:id="51"/>
      <w:r>
        <w:rPr>
          <w:rFonts w:ascii="Times New Roman" w:hAnsi="Times New Roman" w:cs="Times New Roman"/>
          <w:b/>
          <w:color w:val="000000"/>
          <w:sz w:val="20"/>
        </w:rPr>
        <w:t>*24</w:t>
      </w:r>
      <w:r>
        <w:rPr>
          <w:rFonts w:ascii="Times New Roman" w:hAnsi="Times New Roman" w:cs="Times New Roman"/>
          <w:color w:val="000000"/>
          <w:sz w:val="20"/>
        </w:rPr>
        <w:t xml:space="preserve"> After laying out the evidence and arguing that Johnson had established causation, Johnson</w:t>
      </w:r>
      <w:r>
        <w:rPr>
          <w:rFonts w:ascii="Times New Roman" w:hAnsi="Times New Roman" w:cs="Times New Roman"/>
          <w:color w:val="000000"/>
          <w:sz w:val="20"/>
        </w:rPr>
        <w:t>’</w:t>
      </w:r>
      <w:r>
        <w:rPr>
          <w:rFonts w:ascii="Times New Roman" w:hAnsi="Times New Roman" w:cs="Times New Roman"/>
          <w:color w:val="000000"/>
          <w:sz w:val="20"/>
        </w:rPr>
        <w:t>s</w:t>
      </w:r>
      <w:r>
        <w:rPr>
          <w:rFonts w:ascii="Times New Roman" w:hAnsi="Times New Roman" w:cs="Times New Roman"/>
          <w:color w:val="000000"/>
          <w:sz w:val="20"/>
        </w:rPr>
        <w:t xml:space="preserve"> attorney turned to damages. He explained that the parties had stipulated to the amount of economic damages ($819,882.32 in past economic loss and $1,433,327 in future economic loss). The </w:t>
      </w:r>
      <w:r>
        <w:rPr>
          <w:rFonts w:ascii="Times New Roman" w:hAnsi="Times New Roman" w:cs="Times New Roman"/>
          <w:color w:val="000000"/>
          <w:sz w:val="20"/>
        </w:rPr>
        <w:t>“</w:t>
      </w:r>
      <w:r>
        <w:rPr>
          <w:rFonts w:ascii="Times New Roman" w:hAnsi="Times New Roman" w:cs="Times New Roman"/>
          <w:color w:val="000000"/>
          <w:sz w:val="20"/>
        </w:rPr>
        <w:t>hard part,</w:t>
      </w:r>
      <w:r>
        <w:rPr>
          <w:rFonts w:ascii="Times New Roman" w:hAnsi="Times New Roman" w:cs="Times New Roman"/>
          <w:color w:val="000000"/>
          <w:sz w:val="20"/>
        </w:rPr>
        <w:t>”</w:t>
      </w:r>
      <w:r>
        <w:rPr>
          <w:rFonts w:ascii="Times New Roman" w:hAnsi="Times New Roman" w:cs="Times New Roman"/>
          <w:color w:val="000000"/>
          <w:sz w:val="20"/>
        </w:rPr>
        <w:t xml:space="preserve"> according to Johnson</w:t>
      </w:r>
      <w:r>
        <w:rPr>
          <w:rFonts w:ascii="Times New Roman" w:hAnsi="Times New Roman" w:cs="Times New Roman"/>
          <w:color w:val="000000"/>
          <w:sz w:val="20"/>
        </w:rPr>
        <w:t>’</w:t>
      </w:r>
      <w:r>
        <w:rPr>
          <w:rFonts w:ascii="Times New Roman" w:hAnsi="Times New Roman" w:cs="Times New Roman"/>
          <w:color w:val="000000"/>
          <w:sz w:val="20"/>
        </w:rPr>
        <w:t>s attorney, would be determining n</w:t>
      </w:r>
      <w:r>
        <w:rPr>
          <w:rFonts w:ascii="Times New Roman" w:hAnsi="Times New Roman" w:cs="Times New Roman"/>
          <w:color w:val="000000"/>
          <w:sz w:val="20"/>
        </w:rPr>
        <w:t xml:space="preserve">oneconomic damages. Counsel stressed that Johnson had suffered tremendous physical and emotional pain and sometimes could not leave his bedroom for several days after chemotherapy. He then requested noneconomic damages as follows: </w:t>
      </w:r>
      <w:r>
        <w:rPr>
          <w:rFonts w:ascii="Times New Roman" w:hAnsi="Times New Roman" w:cs="Times New Roman"/>
          <w:color w:val="000000"/>
          <w:sz w:val="20"/>
        </w:rPr>
        <w:t>“</w:t>
      </w:r>
      <w:r>
        <w:rPr>
          <w:rFonts w:ascii="Times New Roman" w:hAnsi="Times New Roman" w:cs="Times New Roman"/>
          <w:color w:val="000000"/>
          <w:sz w:val="20"/>
        </w:rPr>
        <w:t>What is that worth? I me</w:t>
      </w:r>
      <w:r>
        <w:rPr>
          <w:rFonts w:ascii="Times New Roman" w:hAnsi="Times New Roman" w:cs="Times New Roman"/>
          <w:color w:val="000000"/>
          <w:sz w:val="20"/>
        </w:rPr>
        <w:t>an, how do you put a price tag on</w:t>
      </w:r>
      <w:r>
        <w:rPr>
          <w:rFonts w:ascii="Times New Roman" w:hAnsi="Times New Roman" w:cs="Times New Roman"/>
          <w:color w:val="000000"/>
          <w:sz w:val="20"/>
        </w:rPr>
        <w:t>—</w:t>
      </w:r>
      <w:r>
        <w:rPr>
          <w:rFonts w:ascii="Times New Roman" w:hAnsi="Times New Roman" w:cs="Times New Roman"/>
          <w:color w:val="000000"/>
          <w:sz w:val="20"/>
        </w:rPr>
        <w:t>I wish that upon no one. My wors[t] enemy, I would not wish that upon them. So it</w:t>
      </w:r>
      <w:r>
        <w:rPr>
          <w:rFonts w:ascii="Times New Roman" w:hAnsi="Times New Roman" w:cs="Times New Roman"/>
          <w:color w:val="000000"/>
          <w:sz w:val="20"/>
        </w:rPr>
        <w:t>’</w:t>
      </w:r>
      <w:r>
        <w:rPr>
          <w:rFonts w:ascii="Times New Roman" w:hAnsi="Times New Roman" w:cs="Times New Roman"/>
          <w:color w:val="000000"/>
          <w:sz w:val="20"/>
        </w:rPr>
        <w:t>s a hard thing to do ... and I think the</w:t>
      </w:r>
      <w:r>
        <w:rPr>
          <w:rFonts w:ascii="Times New Roman" w:hAnsi="Times New Roman" w:cs="Times New Roman"/>
          <w:color w:val="000000"/>
          <w:sz w:val="20"/>
        </w:rPr>
        <w:t>—</w:t>
      </w:r>
      <w:r>
        <w:rPr>
          <w:rFonts w:ascii="Times New Roman" w:hAnsi="Times New Roman" w:cs="Times New Roman"/>
          <w:color w:val="000000"/>
          <w:sz w:val="20"/>
        </w:rPr>
        <w:t>the cleanest way is to think about his life expectancy; right?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w:t>
      </w:r>
      <w:r>
        <w:rPr>
          <w:rFonts w:ascii="Times New Roman" w:hAnsi="Times New Roman" w:cs="Times New Roman"/>
          <w:color w:val="000000"/>
          <w:sz w:val="20"/>
        </w:rPr>
        <w:t>What we know is that he</w:t>
      </w:r>
      <w:r>
        <w:rPr>
          <w:rFonts w:ascii="Times New Roman" w:hAnsi="Times New Roman" w:cs="Times New Roman"/>
          <w:color w:val="000000"/>
          <w:sz w:val="20"/>
        </w:rPr>
        <w:t>’</w:t>
      </w:r>
      <w:r>
        <w:rPr>
          <w:rFonts w:ascii="Times New Roman" w:hAnsi="Times New Roman" w:cs="Times New Roman"/>
          <w:color w:val="000000"/>
          <w:sz w:val="20"/>
        </w:rPr>
        <w:t>s had fou</w:t>
      </w:r>
      <w:r>
        <w:rPr>
          <w:rFonts w:ascii="Times New Roman" w:hAnsi="Times New Roman" w:cs="Times New Roman"/>
          <w:color w:val="000000"/>
          <w:sz w:val="20"/>
        </w:rPr>
        <w:t xml:space="preserve">r years of this, since 2014 he was diagnosed, and he will live between 2 more </w:t>
      </w:r>
      <w:r>
        <w:rPr>
          <w:rFonts w:ascii="Times New Roman" w:hAnsi="Times New Roman" w:cs="Times New Roman"/>
          <w:color w:val="000000"/>
          <w:sz w:val="20"/>
        </w:rPr>
        <w:t>to 33 years.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w:t>
      </w:r>
      <w:r>
        <w:rPr>
          <w:rFonts w:ascii="Times New Roman" w:hAnsi="Times New Roman" w:cs="Times New Roman"/>
          <w:color w:val="000000"/>
          <w:sz w:val="20"/>
        </w:rPr>
        <w:t>The number</w:t>
      </w:r>
      <w:r>
        <w:rPr>
          <w:rFonts w:ascii="Times New Roman" w:hAnsi="Times New Roman" w:cs="Times New Roman"/>
          <w:color w:val="000000"/>
          <w:sz w:val="20"/>
        </w:rPr>
        <w:t>’</w:t>
      </w:r>
      <w:r>
        <w:rPr>
          <w:rFonts w:ascii="Times New Roman" w:hAnsi="Times New Roman" w:cs="Times New Roman"/>
          <w:color w:val="000000"/>
          <w:sz w:val="20"/>
        </w:rPr>
        <w:t>s simple: A million dollars per year. For all that suffering, all that pain, it</w:t>
      </w:r>
      <w:r>
        <w:rPr>
          <w:rFonts w:ascii="Times New Roman" w:hAnsi="Times New Roman" w:cs="Times New Roman"/>
          <w:color w:val="000000"/>
          <w:sz w:val="20"/>
        </w:rPr>
        <w:t>’</w:t>
      </w:r>
      <w:r>
        <w:rPr>
          <w:rFonts w:ascii="Times New Roman" w:hAnsi="Times New Roman" w:cs="Times New Roman"/>
          <w:color w:val="000000"/>
          <w:sz w:val="20"/>
        </w:rPr>
        <w:t>s a million dollars per year.</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w:t>
      </w:r>
      <w:r>
        <w:rPr>
          <w:rFonts w:ascii="Times New Roman" w:hAnsi="Times New Roman" w:cs="Times New Roman"/>
          <w:color w:val="000000"/>
          <w:sz w:val="20"/>
        </w:rPr>
        <w:t>And if he lives for only two years, then the remaining years that he doesn</w:t>
      </w:r>
      <w:r>
        <w:rPr>
          <w:rFonts w:ascii="Times New Roman" w:hAnsi="Times New Roman" w:cs="Times New Roman"/>
          <w:color w:val="000000"/>
          <w:sz w:val="20"/>
        </w:rPr>
        <w:t>’</w:t>
      </w:r>
      <w:r>
        <w:rPr>
          <w:rFonts w:ascii="Times New Roman" w:hAnsi="Times New Roman" w:cs="Times New Roman"/>
          <w:color w:val="000000"/>
          <w:sz w:val="20"/>
        </w:rPr>
        <w:t>t get to live is also a million dollars.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w:t>
      </w:r>
      <w:r>
        <w:rPr>
          <w:rFonts w:ascii="Times New Roman" w:hAnsi="Times New Roman" w:cs="Times New Roman"/>
          <w:color w:val="000000"/>
          <w:sz w:val="20"/>
        </w:rPr>
        <w:t>So it doesn</w:t>
      </w:r>
      <w:r>
        <w:rPr>
          <w:rFonts w:ascii="Times New Roman" w:hAnsi="Times New Roman" w:cs="Times New Roman"/>
          <w:color w:val="000000"/>
          <w:sz w:val="20"/>
        </w:rPr>
        <w:t>’</w:t>
      </w:r>
      <w:r>
        <w:rPr>
          <w:rFonts w:ascii="Times New Roman" w:hAnsi="Times New Roman" w:cs="Times New Roman"/>
          <w:color w:val="000000"/>
          <w:sz w:val="20"/>
        </w:rPr>
        <w:t>t matter if he dies in two years or dies in 20. It</w:t>
      </w:r>
      <w:r>
        <w:rPr>
          <w:rFonts w:ascii="Times New Roman" w:hAnsi="Times New Roman" w:cs="Times New Roman"/>
          <w:color w:val="000000"/>
          <w:sz w:val="20"/>
        </w:rPr>
        <w:t>’</w:t>
      </w:r>
      <w:r>
        <w:rPr>
          <w:rFonts w:ascii="Times New Roman" w:hAnsi="Times New Roman" w:cs="Times New Roman"/>
          <w:color w:val="000000"/>
          <w:sz w:val="20"/>
        </w:rPr>
        <w:t>s because he deserves that money. And so the noneconomic damages are $37 m</w:t>
      </w:r>
      <w:r>
        <w:rPr>
          <w:rFonts w:ascii="Times New Roman" w:hAnsi="Times New Roman" w:cs="Times New Roman"/>
          <w:color w:val="000000"/>
          <w:sz w:val="20"/>
        </w:rPr>
        <w:t>illion.</w:t>
      </w:r>
      <w:r>
        <w:rPr>
          <w:rFonts w:ascii="Times New Roman" w:hAnsi="Times New Roman" w:cs="Times New Roman"/>
          <w:color w:val="000000"/>
          <w:sz w:val="20"/>
        </w:rPr>
        <w:t>”</w:t>
      </w:r>
      <w:r>
        <w:rPr>
          <w:rFonts w:ascii="Times New Roman" w:hAnsi="Times New Roman" w:cs="Times New Roman"/>
          <w:color w:val="000000"/>
          <w:sz w:val="20"/>
        </w:rPr>
        <w:t xml:space="preserve"> Counsel stated that a reasonable total amount for economic and noneconomic damages would be $39,253,209.23.</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Still later in his argument, Johnson</w:t>
      </w:r>
      <w:r>
        <w:rPr>
          <w:rFonts w:ascii="Times New Roman" w:hAnsi="Times New Roman" w:cs="Times New Roman"/>
          <w:color w:val="000000"/>
          <w:sz w:val="20"/>
        </w:rPr>
        <w:t>’</w:t>
      </w:r>
      <w:r>
        <w:rPr>
          <w:rFonts w:ascii="Times New Roman" w:hAnsi="Times New Roman" w:cs="Times New Roman"/>
          <w:color w:val="000000"/>
          <w:sz w:val="20"/>
        </w:rPr>
        <w:t xml:space="preserve">s counsel devoted significant time to explaining why the jury should award punitive damages. At one </w:t>
      </w:r>
      <w:r>
        <w:rPr>
          <w:rFonts w:ascii="Times New Roman" w:hAnsi="Times New Roman" w:cs="Times New Roman"/>
          <w:color w:val="000000"/>
          <w:sz w:val="20"/>
        </w:rPr>
        <w:t xml:space="preserve">point during the morning session counsel referred to a Monsanto representative in the courtroom and said that </w:t>
      </w:r>
      <w:r>
        <w:rPr>
          <w:rFonts w:ascii="Times New Roman" w:hAnsi="Times New Roman" w:cs="Times New Roman"/>
          <w:color w:val="000000"/>
          <w:sz w:val="20"/>
        </w:rPr>
        <w:t>“</w:t>
      </w:r>
      <w:r>
        <w:rPr>
          <w:rFonts w:ascii="Times New Roman" w:hAnsi="Times New Roman" w:cs="Times New Roman"/>
          <w:color w:val="000000"/>
          <w:sz w:val="20"/>
        </w:rPr>
        <w:t>she</w:t>
      </w:r>
      <w:r>
        <w:rPr>
          <w:rFonts w:ascii="Times New Roman" w:hAnsi="Times New Roman" w:cs="Times New Roman"/>
          <w:color w:val="000000"/>
          <w:sz w:val="20"/>
        </w:rPr>
        <w:t>’</w:t>
      </w:r>
      <w:r>
        <w:rPr>
          <w:rFonts w:ascii="Times New Roman" w:hAnsi="Times New Roman" w:cs="Times New Roman"/>
          <w:color w:val="000000"/>
          <w:sz w:val="20"/>
        </w:rPr>
        <w:t>s sitting over there in that corner. On her cell phone is a speed dial to a conference room in St. Louis, Missouri. And in that conference ro</w:t>
      </w:r>
      <w:r>
        <w:rPr>
          <w:rFonts w:ascii="Times New Roman" w:hAnsi="Times New Roman" w:cs="Times New Roman"/>
          <w:color w:val="000000"/>
          <w:sz w:val="20"/>
        </w:rPr>
        <w:t>om, in that board room, there</w:t>
      </w:r>
      <w:r>
        <w:rPr>
          <w:rFonts w:ascii="Times New Roman" w:hAnsi="Times New Roman" w:cs="Times New Roman"/>
          <w:color w:val="000000"/>
          <w:sz w:val="20"/>
        </w:rPr>
        <w:t>’</w:t>
      </w:r>
      <w:r>
        <w:rPr>
          <w:rFonts w:ascii="Times New Roman" w:hAnsi="Times New Roman" w:cs="Times New Roman"/>
          <w:color w:val="000000"/>
          <w:sz w:val="20"/>
        </w:rPr>
        <w:t>s a bunch of executives waiting for the phone to ring. Behind them is a bunch of champagne on ice.</w:t>
      </w:r>
      <w:r>
        <w:rPr>
          <w:rFonts w:ascii="Times New Roman" w:hAnsi="Times New Roman" w:cs="Times New Roman"/>
          <w:color w:val="000000"/>
          <w:sz w:val="20"/>
        </w:rPr>
        <w:t>”</w:t>
      </w:r>
      <w:r>
        <w:rPr>
          <w:rFonts w:ascii="Times New Roman" w:hAnsi="Times New Roman" w:cs="Times New Roman"/>
          <w:color w:val="000000"/>
          <w:sz w:val="20"/>
        </w:rPr>
        <w:t xml:space="preserve"> Monsanto</w:t>
      </w:r>
      <w:r>
        <w:rPr>
          <w:rFonts w:ascii="Times New Roman" w:hAnsi="Times New Roman" w:cs="Times New Roman"/>
          <w:color w:val="000000"/>
          <w:sz w:val="20"/>
        </w:rPr>
        <w:t>’</w:t>
      </w:r>
      <w:r>
        <w:rPr>
          <w:rFonts w:ascii="Times New Roman" w:hAnsi="Times New Roman" w:cs="Times New Roman"/>
          <w:color w:val="000000"/>
          <w:sz w:val="20"/>
        </w:rPr>
        <w:t xml:space="preserve">s attorney objected to the argument as </w:t>
      </w:r>
      <w:r>
        <w:rPr>
          <w:rFonts w:ascii="Times New Roman" w:hAnsi="Times New Roman" w:cs="Times New Roman"/>
          <w:color w:val="000000"/>
          <w:sz w:val="20"/>
        </w:rPr>
        <w:t>“</w:t>
      </w:r>
      <w:r>
        <w:rPr>
          <w:rFonts w:ascii="Times New Roman" w:hAnsi="Times New Roman" w:cs="Times New Roman"/>
          <w:color w:val="000000"/>
          <w:sz w:val="20"/>
        </w:rPr>
        <w:t>complete fantasy,</w:t>
      </w:r>
      <w:r>
        <w:rPr>
          <w:rFonts w:ascii="Times New Roman" w:hAnsi="Times New Roman" w:cs="Times New Roman"/>
          <w:color w:val="000000"/>
          <w:sz w:val="20"/>
        </w:rPr>
        <w:t>”</w:t>
      </w:r>
      <w:r>
        <w:rPr>
          <w:rFonts w:ascii="Times New Roman" w:hAnsi="Times New Roman" w:cs="Times New Roman"/>
          <w:color w:val="000000"/>
          <w:sz w:val="20"/>
        </w:rPr>
        <w:t xml:space="preserve"> and the trial court sustained the objection. Johnson</w:t>
      </w:r>
      <w:r>
        <w:rPr>
          <w:rFonts w:ascii="Times New Roman" w:hAnsi="Times New Roman" w:cs="Times New Roman"/>
          <w:color w:val="000000"/>
          <w:sz w:val="20"/>
        </w:rPr>
        <w:t>’</w:t>
      </w:r>
      <w:r>
        <w:rPr>
          <w:rFonts w:ascii="Times New Roman" w:hAnsi="Times New Roman" w:cs="Times New Roman"/>
          <w:color w:val="000000"/>
          <w:sz w:val="20"/>
        </w:rPr>
        <w:t>s att</w:t>
      </w:r>
      <w:r>
        <w:rPr>
          <w:rFonts w:ascii="Times New Roman" w:hAnsi="Times New Roman" w:cs="Times New Roman"/>
          <w:color w:val="000000"/>
          <w:sz w:val="20"/>
        </w:rPr>
        <w:t xml:space="preserve">orney then argued that the jury should impose punitive damages in an amount </w:t>
      </w:r>
      <w:r>
        <w:rPr>
          <w:rFonts w:ascii="Times New Roman" w:hAnsi="Times New Roman" w:cs="Times New Roman"/>
          <w:color w:val="000000"/>
          <w:sz w:val="20"/>
        </w:rPr>
        <w:t>“</w:t>
      </w:r>
      <w:r>
        <w:rPr>
          <w:rFonts w:ascii="Times New Roman" w:hAnsi="Times New Roman" w:cs="Times New Roman"/>
          <w:color w:val="000000"/>
          <w:sz w:val="20"/>
        </w:rPr>
        <w:t>that tells those people</w:t>
      </w:r>
      <w:r>
        <w:rPr>
          <w:rFonts w:ascii="Times New Roman" w:hAnsi="Times New Roman" w:cs="Times New Roman"/>
          <w:color w:val="000000"/>
          <w:sz w:val="20"/>
        </w:rPr>
        <w:t>—</w:t>
      </w:r>
      <w:r>
        <w:rPr>
          <w:rFonts w:ascii="Times New Roman" w:hAnsi="Times New Roman" w:cs="Times New Roman"/>
          <w:color w:val="000000"/>
          <w:sz w:val="20"/>
        </w:rPr>
        <w:t xml:space="preserve">they hear it, and they have to put the phone down, look at each other, and say, </w:t>
      </w:r>
      <w:r>
        <w:rPr>
          <w:rFonts w:ascii="Times New Roman" w:hAnsi="Times New Roman" w:cs="Times New Roman"/>
          <w:color w:val="000000"/>
          <w:sz w:val="20"/>
        </w:rPr>
        <w:t>‘</w:t>
      </w:r>
      <w:r>
        <w:rPr>
          <w:rFonts w:ascii="Times New Roman" w:hAnsi="Times New Roman" w:cs="Times New Roman"/>
          <w:color w:val="000000"/>
          <w:sz w:val="20"/>
        </w:rPr>
        <w:t>We have to change what we</w:t>
      </w:r>
      <w:r>
        <w:rPr>
          <w:rFonts w:ascii="Times New Roman" w:hAnsi="Times New Roman" w:cs="Times New Roman"/>
          <w:color w:val="000000"/>
          <w:sz w:val="20"/>
        </w:rPr>
        <w:t>’</w:t>
      </w:r>
      <w:r>
        <w:rPr>
          <w:rFonts w:ascii="Times New Roman" w:hAnsi="Times New Roman" w:cs="Times New Roman"/>
          <w:color w:val="000000"/>
          <w:sz w:val="20"/>
        </w:rPr>
        <w:t>re doing.</w:t>
      </w:r>
      <w:r>
        <w:rPr>
          <w:rFonts w:ascii="Times New Roman" w:hAnsi="Times New Roman" w:cs="Times New Roman"/>
          <w:color w:val="000000"/>
          <w:sz w:val="20"/>
        </w:rPr>
        <w:t>’</w:t>
      </w:r>
      <w:r>
        <w:rPr>
          <w:rFonts w:ascii="Times New Roman" w:hAnsi="Times New Roman" w:cs="Times New Roman"/>
          <w:color w:val="000000"/>
          <w:sz w:val="20"/>
        </w:rPr>
        <w:t xml:space="preserve"> [¶] Because if the number comes out a</w:t>
      </w:r>
      <w:r>
        <w:rPr>
          <w:rFonts w:ascii="Times New Roman" w:hAnsi="Times New Roman" w:cs="Times New Roman"/>
          <w:color w:val="000000"/>
          <w:sz w:val="20"/>
        </w:rPr>
        <w:t>nd it</w:t>
      </w:r>
      <w:r>
        <w:rPr>
          <w:rFonts w:ascii="Times New Roman" w:hAnsi="Times New Roman" w:cs="Times New Roman"/>
          <w:color w:val="000000"/>
          <w:sz w:val="20"/>
        </w:rPr>
        <w:t>’</w:t>
      </w:r>
      <w:r>
        <w:rPr>
          <w:rFonts w:ascii="Times New Roman" w:hAnsi="Times New Roman" w:cs="Times New Roman"/>
          <w:color w:val="000000"/>
          <w:sz w:val="20"/>
        </w:rPr>
        <w:t xml:space="preserve">s not significant enough, champagne corks will pop. </w:t>
      </w:r>
      <w:r>
        <w:rPr>
          <w:rFonts w:ascii="Times New Roman" w:hAnsi="Times New Roman" w:cs="Times New Roman"/>
          <w:color w:val="000000"/>
          <w:sz w:val="20"/>
        </w:rPr>
        <w:t>‘</w:t>
      </w:r>
      <w:r>
        <w:rPr>
          <w:rFonts w:ascii="Times New Roman" w:hAnsi="Times New Roman" w:cs="Times New Roman"/>
          <w:color w:val="000000"/>
          <w:sz w:val="20"/>
        </w:rPr>
        <w:t>Attaboys,</w:t>
      </w:r>
      <w:r>
        <w:rPr>
          <w:rFonts w:ascii="Times New Roman" w:hAnsi="Times New Roman" w:cs="Times New Roman"/>
          <w:color w:val="000000"/>
          <w:sz w:val="20"/>
        </w:rPr>
        <w:t>’</w:t>
      </w:r>
      <w:r>
        <w:rPr>
          <w:rFonts w:ascii="Times New Roman" w:hAnsi="Times New Roman" w:cs="Times New Roman"/>
          <w:color w:val="000000"/>
          <w:sz w:val="20"/>
        </w:rPr>
        <w:t xml:space="preserve"> are everywhere.</w:t>
      </w:r>
      <w:r>
        <w:rPr>
          <w:rFonts w:ascii="Times New Roman" w:hAnsi="Times New Roman" w:cs="Times New Roman"/>
          <w:color w:val="000000"/>
          <w:sz w:val="20"/>
        </w:rPr>
        <w:t>”</w:t>
      </w:r>
      <w:r>
        <w:rPr>
          <w:rFonts w:ascii="Times New Roman" w:hAnsi="Times New Roman" w:cs="Times New Roman"/>
          <w:color w:val="000000"/>
          <w:sz w:val="20"/>
        </w:rPr>
        <w:t xml:space="preserve"> The trial court again sustained an objection by Monsanto</w:t>
      </w:r>
      <w:r>
        <w:rPr>
          <w:rFonts w:ascii="Times New Roman" w:hAnsi="Times New Roman" w:cs="Times New Roman"/>
          <w:color w:val="000000"/>
          <w:sz w:val="20"/>
        </w:rPr>
        <w:t>’</w:t>
      </w:r>
      <w:r>
        <w:rPr>
          <w:rFonts w:ascii="Times New Roman" w:hAnsi="Times New Roman" w:cs="Times New Roman"/>
          <w:color w:val="000000"/>
          <w:sz w:val="20"/>
        </w:rPr>
        <w:t>s attorney and cautioned Johnson</w:t>
      </w:r>
      <w:r>
        <w:rPr>
          <w:rFonts w:ascii="Times New Roman" w:hAnsi="Times New Roman" w:cs="Times New Roman"/>
          <w:color w:val="000000"/>
          <w:sz w:val="20"/>
        </w:rPr>
        <w:t>’</w:t>
      </w:r>
      <w:r>
        <w:rPr>
          <w:rFonts w:ascii="Times New Roman" w:hAnsi="Times New Roman" w:cs="Times New Roman"/>
          <w:color w:val="000000"/>
          <w:sz w:val="20"/>
        </w:rPr>
        <w:t>s counsel not to engage in speculation.</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After a lunch break, Monsanto moved f</w:t>
      </w:r>
      <w:r>
        <w:rPr>
          <w:rFonts w:ascii="Times New Roman" w:hAnsi="Times New Roman" w:cs="Times New Roman"/>
          <w:color w:val="000000"/>
          <w:sz w:val="20"/>
        </w:rPr>
        <w:t>or a mistrial based in part on Johnson</w:t>
      </w:r>
      <w:r>
        <w:rPr>
          <w:rFonts w:ascii="Times New Roman" w:hAnsi="Times New Roman" w:cs="Times New Roman"/>
          <w:color w:val="000000"/>
          <w:sz w:val="20"/>
        </w:rPr>
        <w:t>’</w:t>
      </w:r>
      <w:r>
        <w:rPr>
          <w:rFonts w:ascii="Times New Roman" w:hAnsi="Times New Roman" w:cs="Times New Roman"/>
          <w:color w:val="000000"/>
          <w:sz w:val="20"/>
        </w:rPr>
        <w:t xml:space="preserve">s statements regarding punitive damages that were meant to </w:t>
      </w:r>
      <w:r>
        <w:rPr>
          <w:rFonts w:ascii="Times New Roman" w:hAnsi="Times New Roman" w:cs="Times New Roman"/>
          <w:color w:val="000000"/>
          <w:sz w:val="20"/>
        </w:rPr>
        <w:t>“</w:t>
      </w:r>
      <w:r>
        <w:rPr>
          <w:rFonts w:ascii="Times New Roman" w:hAnsi="Times New Roman" w:cs="Times New Roman"/>
          <w:color w:val="000000"/>
          <w:sz w:val="20"/>
        </w:rPr>
        <w:t>inflame the jury</w:t>
      </w:r>
      <w:r>
        <w:rPr>
          <w:rFonts w:ascii="Times New Roman" w:hAnsi="Times New Roman" w:cs="Times New Roman"/>
          <w:color w:val="000000"/>
          <w:sz w:val="20"/>
        </w:rPr>
        <w:t>”</w:t>
      </w:r>
      <w:r>
        <w:rPr>
          <w:rFonts w:ascii="Times New Roman" w:hAnsi="Times New Roman" w:cs="Times New Roman"/>
          <w:color w:val="000000"/>
          <w:sz w:val="20"/>
        </w:rPr>
        <w:t xml:space="preserve"> and were </w:t>
      </w:r>
      <w:r>
        <w:rPr>
          <w:rFonts w:ascii="Times New Roman" w:hAnsi="Times New Roman" w:cs="Times New Roman"/>
          <w:color w:val="000000"/>
          <w:sz w:val="20"/>
        </w:rPr>
        <w:t>“</w:t>
      </w:r>
      <w:r>
        <w:rPr>
          <w:rFonts w:ascii="Times New Roman" w:hAnsi="Times New Roman" w:cs="Times New Roman"/>
          <w:color w:val="000000"/>
          <w:sz w:val="20"/>
        </w:rPr>
        <w:t>a pure product of [Johnson</w:t>
      </w:r>
      <w:r>
        <w:rPr>
          <w:rFonts w:ascii="Times New Roman" w:hAnsi="Times New Roman" w:cs="Times New Roman"/>
          <w:color w:val="000000"/>
          <w:sz w:val="20"/>
        </w:rPr>
        <w:t>’</w:t>
      </w:r>
      <w:r>
        <w:rPr>
          <w:rFonts w:ascii="Times New Roman" w:hAnsi="Times New Roman" w:cs="Times New Roman"/>
          <w:color w:val="000000"/>
          <w:sz w:val="20"/>
        </w:rPr>
        <w:t>s attorney</w:t>
      </w:r>
      <w:r>
        <w:rPr>
          <w:rFonts w:ascii="Times New Roman" w:hAnsi="Times New Roman" w:cs="Times New Roman"/>
          <w:color w:val="000000"/>
          <w:sz w:val="20"/>
        </w:rPr>
        <w:t>’</w:t>
      </w:r>
      <w:r>
        <w:rPr>
          <w:rFonts w:ascii="Times New Roman" w:hAnsi="Times New Roman" w:cs="Times New Roman"/>
          <w:color w:val="000000"/>
          <w:sz w:val="20"/>
        </w:rPr>
        <w:t>s] fantasy.</w:t>
      </w:r>
      <w:r>
        <w:rPr>
          <w:rFonts w:ascii="Times New Roman" w:hAnsi="Times New Roman" w:cs="Times New Roman"/>
          <w:color w:val="000000"/>
          <w:sz w:val="20"/>
        </w:rPr>
        <w:t>”</w:t>
      </w:r>
      <w:r>
        <w:rPr>
          <w:rFonts w:ascii="Times New Roman" w:hAnsi="Times New Roman" w:cs="Times New Roman"/>
          <w:color w:val="000000"/>
          <w:sz w:val="20"/>
        </w:rPr>
        <w:t xml:space="preserve"> Monsanto</w:t>
      </w:r>
      <w:r>
        <w:rPr>
          <w:rFonts w:ascii="Times New Roman" w:hAnsi="Times New Roman" w:cs="Times New Roman"/>
          <w:color w:val="000000"/>
          <w:sz w:val="20"/>
        </w:rPr>
        <w:t>’</w:t>
      </w:r>
      <w:r>
        <w:rPr>
          <w:rFonts w:ascii="Times New Roman" w:hAnsi="Times New Roman" w:cs="Times New Roman"/>
          <w:color w:val="000000"/>
          <w:sz w:val="20"/>
        </w:rPr>
        <w:t>s attorney also objected on due process grounds to Johnson</w:t>
      </w:r>
      <w:r>
        <w:rPr>
          <w:rFonts w:ascii="Times New Roman" w:hAnsi="Times New Roman" w:cs="Times New Roman"/>
          <w:color w:val="000000"/>
          <w:sz w:val="20"/>
        </w:rPr>
        <w:t>’</w:t>
      </w:r>
      <w:r>
        <w:rPr>
          <w:rFonts w:ascii="Times New Roman" w:hAnsi="Times New Roman" w:cs="Times New Roman"/>
          <w:color w:val="000000"/>
          <w:sz w:val="20"/>
        </w:rPr>
        <w:t>s attorney</w:t>
      </w:r>
      <w:r>
        <w:rPr>
          <w:rFonts w:ascii="Times New Roman" w:hAnsi="Times New Roman" w:cs="Times New Roman"/>
          <w:color w:val="000000"/>
          <w:sz w:val="20"/>
        </w:rPr>
        <w:t xml:space="preserve"> arguing that the jury could be part of history and send a message, because the argument was </w:t>
      </w:r>
      <w:r>
        <w:rPr>
          <w:rFonts w:ascii="Times New Roman" w:hAnsi="Times New Roman" w:cs="Times New Roman"/>
          <w:color w:val="000000"/>
          <w:sz w:val="20"/>
        </w:rPr>
        <w:t>“</w:t>
      </w:r>
      <w:r>
        <w:rPr>
          <w:rFonts w:ascii="Times New Roman" w:hAnsi="Times New Roman" w:cs="Times New Roman"/>
          <w:color w:val="000000"/>
          <w:sz w:val="20"/>
        </w:rPr>
        <w:t>not tied to the plaintiff[ ] or plaintiff</w:t>
      </w:r>
      <w:r>
        <w:rPr>
          <w:rFonts w:ascii="Times New Roman" w:hAnsi="Times New Roman" w:cs="Times New Roman"/>
          <w:color w:val="000000"/>
          <w:sz w:val="20"/>
        </w:rPr>
        <w:t>’</w:t>
      </w:r>
      <w:r>
        <w:rPr>
          <w:rFonts w:ascii="Times New Roman" w:hAnsi="Times New Roman" w:cs="Times New Roman"/>
          <w:color w:val="000000"/>
          <w:sz w:val="20"/>
        </w:rPr>
        <w:t>s damages.</w:t>
      </w:r>
      <w:r>
        <w:rPr>
          <w:rFonts w:ascii="Times New Roman" w:hAnsi="Times New Roman" w:cs="Times New Roman"/>
          <w:color w:val="000000"/>
          <w:sz w:val="20"/>
        </w:rPr>
        <w:t>”</w:t>
      </w:r>
      <w:r>
        <w:rPr>
          <w:rFonts w:ascii="Times New Roman" w:hAnsi="Times New Roman" w:cs="Times New Roman"/>
          <w:color w:val="000000"/>
          <w:sz w:val="20"/>
        </w:rPr>
        <w:t xml:space="preserve"> The trial court told Johnson</w:t>
      </w:r>
      <w:r>
        <w:rPr>
          <w:rFonts w:ascii="Times New Roman" w:hAnsi="Times New Roman" w:cs="Times New Roman"/>
          <w:color w:val="000000"/>
          <w:sz w:val="20"/>
        </w:rPr>
        <w:t>’</w:t>
      </w:r>
      <w:r>
        <w:rPr>
          <w:rFonts w:ascii="Times New Roman" w:hAnsi="Times New Roman" w:cs="Times New Roman"/>
          <w:color w:val="000000"/>
          <w:sz w:val="20"/>
        </w:rPr>
        <w:t xml:space="preserve">s counsel that his comments about </w:t>
      </w:r>
      <w:r>
        <w:rPr>
          <w:rFonts w:ascii="Times New Roman" w:hAnsi="Times New Roman" w:cs="Times New Roman"/>
          <w:color w:val="000000"/>
          <w:sz w:val="20"/>
        </w:rPr>
        <w:t>“</w:t>
      </w:r>
      <w:r>
        <w:rPr>
          <w:rFonts w:ascii="Times New Roman" w:hAnsi="Times New Roman" w:cs="Times New Roman"/>
          <w:color w:val="000000"/>
          <w:sz w:val="20"/>
        </w:rPr>
        <w:t>champagne in the board room were very inflam</w:t>
      </w:r>
      <w:r>
        <w:rPr>
          <w:rFonts w:ascii="Times New Roman" w:hAnsi="Times New Roman" w:cs="Times New Roman"/>
          <w:color w:val="000000"/>
          <w:sz w:val="20"/>
        </w:rPr>
        <w:t>matory and prejudicial, and I told you [at sidebar] that you shouldn</w:t>
      </w:r>
      <w:r>
        <w:rPr>
          <w:rFonts w:ascii="Times New Roman" w:hAnsi="Times New Roman" w:cs="Times New Roman"/>
          <w:color w:val="000000"/>
          <w:sz w:val="20"/>
        </w:rPr>
        <w:t>’</w:t>
      </w:r>
      <w:r>
        <w:rPr>
          <w:rFonts w:ascii="Times New Roman" w:hAnsi="Times New Roman" w:cs="Times New Roman"/>
          <w:color w:val="000000"/>
          <w:sz w:val="20"/>
        </w:rPr>
        <w:t>t make those comments because, among other things, it might lead to something like this, a mistrial.</w:t>
      </w:r>
      <w:r>
        <w:rPr>
          <w:rFonts w:ascii="Times New Roman" w:hAnsi="Times New Roman" w:cs="Times New Roman"/>
          <w:color w:val="000000"/>
          <w:sz w:val="20"/>
        </w:rPr>
        <w:t>”</w:t>
      </w:r>
      <w:r>
        <w:rPr>
          <w:rFonts w:ascii="Times New Roman" w:hAnsi="Times New Roman" w:cs="Times New Roman"/>
          <w:color w:val="000000"/>
          <w:sz w:val="20"/>
        </w:rPr>
        <w:t xml:space="preserve"> The trial court took the matter under submission and allowed closing arguments to con</w:t>
      </w:r>
      <w:r>
        <w:rPr>
          <w:rFonts w:ascii="Times New Roman" w:hAnsi="Times New Roman" w:cs="Times New Roman"/>
          <w:color w:val="000000"/>
          <w:sz w:val="20"/>
        </w:rPr>
        <w:t>tinue.</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The following morning, the trial court stated </w:t>
      </w:r>
      <w:r>
        <w:rPr>
          <w:rFonts w:ascii="Times New Roman" w:hAnsi="Times New Roman" w:cs="Times New Roman"/>
          <w:color w:val="000000"/>
          <w:sz w:val="20"/>
        </w:rPr>
        <w:t>“</w:t>
      </w:r>
      <w:r>
        <w:rPr>
          <w:rFonts w:ascii="Times New Roman" w:hAnsi="Times New Roman" w:cs="Times New Roman"/>
          <w:color w:val="000000"/>
          <w:sz w:val="20"/>
        </w:rPr>
        <w:t>the principal area of concern</w:t>
      </w:r>
      <w:r>
        <w:rPr>
          <w:rFonts w:ascii="Times New Roman" w:hAnsi="Times New Roman" w:cs="Times New Roman"/>
          <w:color w:val="000000"/>
          <w:sz w:val="20"/>
        </w:rPr>
        <w:t>”</w:t>
      </w:r>
      <w:r>
        <w:rPr>
          <w:rFonts w:ascii="Times New Roman" w:hAnsi="Times New Roman" w:cs="Times New Roman"/>
          <w:color w:val="000000"/>
          <w:sz w:val="20"/>
        </w:rPr>
        <w:t xml:space="preserve"> that it had was the comment about suggesting to the jury that they should </w:t>
      </w:r>
      <w:r>
        <w:rPr>
          <w:rFonts w:ascii="Times New Roman" w:hAnsi="Times New Roman" w:cs="Times New Roman"/>
          <w:color w:val="000000"/>
          <w:sz w:val="20"/>
        </w:rPr>
        <w:t>“</w:t>
      </w:r>
      <w:r>
        <w:rPr>
          <w:rFonts w:ascii="Times New Roman" w:hAnsi="Times New Roman" w:cs="Times New Roman"/>
          <w:color w:val="000000"/>
          <w:sz w:val="20"/>
        </w:rPr>
        <w:t xml:space="preserve">send a </w:t>
      </w:r>
      <w:r>
        <w:rPr>
          <w:rFonts w:ascii="Times New Roman" w:hAnsi="Times New Roman" w:cs="Times New Roman"/>
          <w:color w:val="000000"/>
          <w:sz w:val="20"/>
        </w:rPr>
        <w:lastRenderedPageBreak/>
        <w:t>message with the amount of punitive damages that they award.</w:t>
      </w:r>
      <w:r>
        <w:rPr>
          <w:rFonts w:ascii="Times New Roman" w:hAnsi="Times New Roman" w:cs="Times New Roman"/>
          <w:color w:val="000000"/>
          <w:sz w:val="20"/>
        </w:rPr>
        <w:t>”</w:t>
      </w:r>
      <w:r>
        <w:rPr>
          <w:rFonts w:ascii="Times New Roman" w:hAnsi="Times New Roman" w:cs="Times New Roman"/>
          <w:color w:val="000000"/>
          <w:sz w:val="20"/>
        </w:rPr>
        <w:t xml:space="preserve"> Johnson</w:t>
      </w:r>
      <w:r>
        <w:rPr>
          <w:rFonts w:ascii="Times New Roman" w:hAnsi="Times New Roman" w:cs="Times New Roman"/>
          <w:color w:val="000000"/>
          <w:sz w:val="20"/>
        </w:rPr>
        <w:t>’</w:t>
      </w:r>
      <w:r>
        <w:rPr>
          <w:rFonts w:ascii="Times New Roman" w:hAnsi="Times New Roman" w:cs="Times New Roman"/>
          <w:color w:val="000000"/>
          <w:sz w:val="20"/>
        </w:rPr>
        <w:t>s counsel disagre</w:t>
      </w:r>
      <w:r>
        <w:rPr>
          <w:rFonts w:ascii="Times New Roman" w:hAnsi="Times New Roman" w:cs="Times New Roman"/>
          <w:color w:val="000000"/>
          <w:sz w:val="20"/>
        </w:rPr>
        <w:t xml:space="preserve">ed with that characterization of his closing argument. The court reiterated, </w:t>
      </w:r>
      <w:r>
        <w:rPr>
          <w:rFonts w:ascii="Times New Roman" w:hAnsi="Times New Roman" w:cs="Times New Roman"/>
          <w:color w:val="000000"/>
          <w:sz w:val="20"/>
        </w:rPr>
        <w:t>“</w:t>
      </w:r>
      <w:r>
        <w:rPr>
          <w:rFonts w:ascii="Times New Roman" w:hAnsi="Times New Roman" w:cs="Times New Roman"/>
          <w:color w:val="000000"/>
          <w:sz w:val="20"/>
        </w:rPr>
        <w:t>[T]he one [comment] that I think was really inappropriate and the one that I</w:t>
      </w:r>
      <w:r>
        <w:rPr>
          <w:rFonts w:ascii="Times New Roman" w:hAnsi="Times New Roman" w:cs="Times New Roman"/>
          <w:color w:val="000000"/>
          <w:sz w:val="20"/>
        </w:rPr>
        <w:t>’</w:t>
      </w:r>
      <w:r>
        <w:rPr>
          <w:rFonts w:ascii="Times New Roman" w:hAnsi="Times New Roman" w:cs="Times New Roman"/>
          <w:color w:val="000000"/>
          <w:sz w:val="20"/>
        </w:rPr>
        <w:t>m most concerned about with regard to the jury</w:t>
      </w:r>
      <w:r>
        <w:rPr>
          <w:rFonts w:ascii="Times New Roman" w:hAnsi="Times New Roman" w:cs="Times New Roman"/>
          <w:color w:val="000000"/>
          <w:sz w:val="20"/>
        </w:rPr>
        <w:t>’</w:t>
      </w:r>
      <w:r>
        <w:rPr>
          <w:rFonts w:ascii="Times New Roman" w:hAnsi="Times New Roman" w:cs="Times New Roman"/>
          <w:color w:val="000000"/>
          <w:sz w:val="20"/>
        </w:rPr>
        <w:t xml:space="preserve">s deliberations were the arguments about changing the </w:t>
      </w:r>
      <w:r>
        <w:rPr>
          <w:rFonts w:ascii="Times New Roman" w:hAnsi="Times New Roman" w:cs="Times New Roman"/>
          <w:color w:val="000000"/>
          <w:sz w:val="20"/>
        </w:rPr>
        <w:t>world, being a part of history, et cetera, with regard to punitive damages.</w:t>
      </w:r>
      <w:r>
        <w:rPr>
          <w:rFonts w:ascii="Times New Roman" w:hAnsi="Times New Roman" w:cs="Times New Roman"/>
          <w:color w:val="000000"/>
          <w:sz w:val="20"/>
        </w:rPr>
        <w:t>”</w:t>
      </w:r>
      <w:r>
        <w:rPr>
          <w:rFonts w:ascii="Times New Roman" w:hAnsi="Times New Roman" w:cs="Times New Roman"/>
          <w:color w:val="000000"/>
          <w:sz w:val="20"/>
        </w:rPr>
        <w:t xml:space="preserve"> (Again, this argument was made without objection and came long before counsel argued specifically about punitive damages.) The court did not grant the motion for nonsuit but inste</w:t>
      </w:r>
      <w:r>
        <w:rPr>
          <w:rFonts w:ascii="Times New Roman" w:hAnsi="Times New Roman" w:cs="Times New Roman"/>
          <w:color w:val="000000"/>
          <w:sz w:val="20"/>
        </w:rPr>
        <w:t xml:space="preserve">ad elected to instruct the jury before their deliberations as follows: </w:t>
      </w:r>
      <w:r>
        <w:rPr>
          <w:rFonts w:ascii="Times New Roman" w:hAnsi="Times New Roman" w:cs="Times New Roman"/>
          <w:color w:val="000000"/>
          <w:sz w:val="20"/>
        </w:rPr>
        <w:t>“</w:t>
      </w:r>
      <w:r>
        <w:rPr>
          <w:rFonts w:ascii="Times New Roman" w:hAnsi="Times New Roman" w:cs="Times New Roman"/>
          <w:color w:val="000000"/>
          <w:sz w:val="20"/>
        </w:rPr>
        <w:t>Yesterday during closing arguments, you heard discussion from plaintiff</w:t>
      </w:r>
      <w:r>
        <w:rPr>
          <w:rFonts w:ascii="Times New Roman" w:hAnsi="Times New Roman" w:cs="Times New Roman"/>
          <w:color w:val="000000"/>
          <w:sz w:val="20"/>
        </w:rPr>
        <w:t>’</w:t>
      </w:r>
      <w:r>
        <w:rPr>
          <w:rFonts w:ascii="Times New Roman" w:hAnsi="Times New Roman" w:cs="Times New Roman"/>
          <w:color w:val="000000"/>
          <w:sz w:val="20"/>
        </w:rPr>
        <w:t>s counsel about the purpose of punitive damages and a reference to changing the world or something to that effec</w:t>
      </w:r>
      <w:r>
        <w:rPr>
          <w:rFonts w:ascii="Times New Roman" w:hAnsi="Times New Roman" w:cs="Times New Roman"/>
          <w:color w:val="000000"/>
          <w:sz w:val="20"/>
        </w:rPr>
        <w:t>t, and I want to remind you and tell you again, as I instructed you yesterday, as to the purpose of punitive damages. [¶] The purpose of punitive damages is explained in great detail in Instruction Number 25, which I read to you yesterday. I</w:t>
      </w:r>
      <w:r>
        <w:rPr>
          <w:rFonts w:ascii="Times New Roman" w:hAnsi="Times New Roman" w:cs="Times New Roman"/>
          <w:color w:val="000000"/>
          <w:sz w:val="20"/>
        </w:rPr>
        <w:t>’</w:t>
      </w:r>
      <w:r>
        <w:rPr>
          <w:rFonts w:ascii="Times New Roman" w:hAnsi="Times New Roman" w:cs="Times New Roman"/>
          <w:color w:val="000000"/>
          <w:sz w:val="20"/>
        </w:rPr>
        <w:t>m not going to</w:t>
      </w:r>
      <w:r>
        <w:rPr>
          <w:rFonts w:ascii="Times New Roman" w:hAnsi="Times New Roman" w:cs="Times New Roman"/>
          <w:color w:val="000000"/>
          <w:sz w:val="20"/>
        </w:rPr>
        <w:t xml:space="preserve"> read the entire instruction to you again, but I want to remind you that if, in fact, you find liability in this case and if you decide to award punitive damages, the purpose of punitive damages is only to punish Monsanto for any crime that was visited upo</w:t>
      </w:r>
      <w:r>
        <w:rPr>
          <w:rFonts w:ascii="Times New Roman" w:hAnsi="Times New Roman" w:cs="Times New Roman"/>
          <w:color w:val="000000"/>
          <w:sz w:val="20"/>
        </w:rPr>
        <w:t>n Mr. Johnson. And you</w:t>
      </w:r>
      <w:r>
        <w:rPr>
          <w:rFonts w:ascii="Times New Roman" w:hAnsi="Times New Roman" w:cs="Times New Roman"/>
          <w:color w:val="000000"/>
          <w:sz w:val="20"/>
        </w:rPr>
        <w:t>’</w:t>
      </w:r>
      <w:r>
        <w:rPr>
          <w:rFonts w:ascii="Times New Roman" w:hAnsi="Times New Roman" w:cs="Times New Roman"/>
          <w:color w:val="000000"/>
          <w:sz w:val="20"/>
        </w:rPr>
        <w:t xml:space="preserve">ll see at the conclusion of the instruction there, </w:t>
      </w:r>
      <w:r>
        <w:rPr>
          <w:rFonts w:ascii="Times New Roman" w:hAnsi="Times New Roman" w:cs="Times New Roman"/>
          <w:color w:val="000000"/>
          <w:sz w:val="20"/>
        </w:rPr>
        <w:t>‘</w:t>
      </w:r>
      <w:r>
        <w:rPr>
          <w:rFonts w:ascii="Times New Roman" w:hAnsi="Times New Roman" w:cs="Times New Roman"/>
          <w:color w:val="000000"/>
          <w:sz w:val="20"/>
        </w:rPr>
        <w:t>Punitive damages may not be used to punish Monsanto for the impact of its alleged misconduct on persons other than Mr. Johnson.</w:t>
      </w:r>
      <w:r>
        <w:rPr>
          <w:rFonts w:ascii="Times New Roman" w:hAnsi="Times New Roman" w:cs="Times New Roman"/>
          <w:color w:val="000000"/>
          <w:sz w:val="20"/>
        </w:rPr>
        <w:t>’</w:t>
      </w:r>
      <w:r>
        <w:rPr>
          <w:rFonts w:ascii="Times New Roman" w:hAnsi="Times New Roman" w:cs="Times New Roman"/>
          <w:color w:val="000000"/>
          <w:sz w:val="20"/>
        </w:rPr>
        <w:t xml:space="preserve"> [¶] So keep that in mind during your deliberations. </w:t>
      </w:r>
      <w:r>
        <w:rPr>
          <w:rFonts w:ascii="Times New Roman" w:hAnsi="Times New Roman" w:cs="Times New Roman"/>
          <w:color w:val="000000"/>
          <w:sz w:val="20"/>
        </w:rPr>
        <w:t>If you have any questions about the proper purpose of punitive damages, should you reach that discussion, refer back to the instruction, and you may, of course, send questions to me as well through the bailiff.</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52" w:name="co_anchor_I2fa07b41cad611eaad728cad1da01"/>
      <w:bookmarkEnd w:id="52"/>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600" w:after="200"/>
        <w:jc w:val="center"/>
        <w:rPr>
          <w:rFonts w:ascii="Times New Roman" w:hAnsi="Times New Roman" w:cs="Times New Roman"/>
          <w:color w:val="000000"/>
          <w:sz w:val="20"/>
        </w:rPr>
      </w:pPr>
      <w:r>
        <w:rPr>
          <w:rFonts w:ascii="Times New Roman" w:hAnsi="Times New Roman" w:cs="Times New Roman"/>
          <w:color w:val="000000"/>
          <w:sz w:val="20"/>
        </w:rPr>
        <w:t>b. The jury</w:t>
      </w:r>
      <w:r>
        <w:rPr>
          <w:rFonts w:ascii="Times New Roman" w:hAnsi="Times New Roman" w:cs="Times New Roman"/>
          <w:color w:val="000000"/>
          <w:sz w:val="20"/>
        </w:rPr>
        <w:t>’</w:t>
      </w:r>
      <w:r>
        <w:rPr>
          <w:rFonts w:ascii="Times New Roman" w:hAnsi="Times New Roman" w:cs="Times New Roman"/>
          <w:color w:val="000000"/>
          <w:sz w:val="20"/>
        </w:rPr>
        <w:t>s award of damages.</w:t>
      </w:r>
    </w:p>
    <w:p w:rsidR="00000000" w:rsidRDefault="00A96DC8">
      <w:pPr>
        <w:autoSpaceDE w:val="0"/>
        <w:autoSpaceDN w:val="0"/>
        <w:adjustRightInd w:val="0"/>
        <w:jc w:val="both"/>
        <w:rPr>
          <w:rFonts w:ascii="Times New Roman" w:hAnsi="Times New Roman" w:cs="Times New Roman"/>
          <w:color w:val="000000"/>
          <w:sz w:val="20"/>
        </w:rPr>
      </w:pPr>
      <w:bookmarkStart w:id="53" w:name="co_pp_sp_999_25_1"/>
      <w:bookmarkEnd w:id="53"/>
      <w:r>
        <w:rPr>
          <w:rFonts w:ascii="Times New Roman" w:hAnsi="Times New Roman" w:cs="Times New Roman"/>
          <w:b/>
          <w:color w:val="000000"/>
          <w:sz w:val="20"/>
        </w:rPr>
        <w:t>*25</w:t>
      </w:r>
      <w:r>
        <w:rPr>
          <w:rFonts w:ascii="Times New Roman" w:hAnsi="Times New Roman" w:cs="Times New Roman"/>
          <w:color w:val="000000"/>
          <w:sz w:val="20"/>
        </w:rPr>
        <w:t xml:space="preserve"> The jury awarded Johnson approximately $39.3 million in compensatory damages, the amount Johnson requested. The verdict form listed the stipulated amounts of past and future economic losses, and the jury awarded $4 million for past noneconomic losses and </w:t>
      </w:r>
      <w:r>
        <w:rPr>
          <w:rFonts w:ascii="Times New Roman" w:hAnsi="Times New Roman" w:cs="Times New Roman"/>
          <w:color w:val="000000"/>
          <w:sz w:val="20"/>
        </w:rPr>
        <w:t>$33 million for future noneconomic losses (which is consistent with counsel</w:t>
      </w:r>
      <w:r>
        <w:rPr>
          <w:rFonts w:ascii="Times New Roman" w:hAnsi="Times New Roman" w:cs="Times New Roman"/>
          <w:color w:val="000000"/>
          <w:sz w:val="20"/>
        </w:rPr>
        <w:t>’</w:t>
      </w:r>
      <w:r>
        <w:rPr>
          <w:rFonts w:ascii="Times New Roman" w:hAnsi="Times New Roman" w:cs="Times New Roman"/>
          <w:color w:val="000000"/>
          <w:sz w:val="20"/>
        </w:rPr>
        <w:t>s argument that Johnson was entitled to $1 million for each year since his diagnosis and $1 million for each year he was expected to live, up to the maximum estimated life expectan</w:t>
      </w:r>
      <w:r>
        <w:rPr>
          <w:rFonts w:ascii="Times New Roman" w:hAnsi="Times New Roman" w:cs="Times New Roman"/>
          <w:color w:val="000000"/>
          <w:sz w:val="20"/>
        </w:rPr>
        <w:t>cy of 33 additional years). The jury also awarded Johnson $250 million in punitive damages.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54" w:name="co_anchor_I2fa11781cad611eaad728cad1da01"/>
      <w:bookmarkEnd w:id="54"/>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600" w:after="200"/>
        <w:jc w:val="center"/>
        <w:rPr>
          <w:rFonts w:ascii="Times New Roman" w:hAnsi="Times New Roman" w:cs="Times New Roman"/>
          <w:color w:val="000000"/>
          <w:sz w:val="20"/>
        </w:rPr>
      </w:pPr>
      <w:r>
        <w:rPr>
          <w:rFonts w:ascii="Times New Roman" w:hAnsi="Times New Roman" w:cs="Times New Roman"/>
          <w:color w:val="000000"/>
          <w:sz w:val="20"/>
        </w:rPr>
        <w:t>c. Motion for a new trial.</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As we have mentioned, Monsanto filed a motion for a n</w:t>
      </w:r>
      <w:r>
        <w:rPr>
          <w:rFonts w:ascii="Times New Roman" w:hAnsi="Times New Roman" w:cs="Times New Roman"/>
          <w:color w:val="000000"/>
          <w:sz w:val="20"/>
        </w:rPr>
        <w:t>ew trial and a motion for judgment notwithstanding the verdict, arguing that Johnson was not entitled to punitive damages. In a tentative ruling, the trial court indicated it would grant Monsanto</w:t>
      </w:r>
      <w:r>
        <w:rPr>
          <w:rFonts w:ascii="Times New Roman" w:hAnsi="Times New Roman" w:cs="Times New Roman"/>
          <w:color w:val="000000"/>
          <w:sz w:val="20"/>
        </w:rPr>
        <w:t>’</w:t>
      </w:r>
      <w:r>
        <w:rPr>
          <w:rFonts w:ascii="Times New Roman" w:hAnsi="Times New Roman" w:cs="Times New Roman"/>
          <w:color w:val="000000"/>
          <w:sz w:val="20"/>
        </w:rPr>
        <w:t>s motions because Johnson had not presented clear and convin</w:t>
      </w:r>
      <w:r>
        <w:rPr>
          <w:rFonts w:ascii="Times New Roman" w:hAnsi="Times New Roman" w:cs="Times New Roman"/>
          <w:color w:val="000000"/>
          <w:sz w:val="20"/>
        </w:rPr>
        <w:t>cing evidence of malice or oppression. (</w:t>
      </w:r>
      <w:r>
        <w:rPr>
          <w:rFonts w:ascii="Times New Roman" w:hAnsi="Times New Roman" w:cs="Times New Roman"/>
          <w:color w:val="0000FF"/>
          <w:sz w:val="20"/>
        </w:rPr>
        <w:t>Civ. Code, § 3294, subd. (a)</w:t>
      </w:r>
      <w:r>
        <w:rPr>
          <w:rFonts w:ascii="Times New Roman" w:hAnsi="Times New Roman" w:cs="Times New Roman"/>
          <w:color w:val="000000"/>
          <w:sz w:val="20"/>
        </w:rPr>
        <w:t>.) The trial court also asked that the parties be prepared to address five topics at the hearing on Monsanto</w:t>
      </w:r>
      <w:r>
        <w:rPr>
          <w:rFonts w:ascii="Times New Roman" w:hAnsi="Times New Roman" w:cs="Times New Roman"/>
          <w:color w:val="000000"/>
          <w:sz w:val="20"/>
        </w:rPr>
        <w:t>’</w:t>
      </w:r>
      <w:r>
        <w:rPr>
          <w:rFonts w:ascii="Times New Roman" w:hAnsi="Times New Roman" w:cs="Times New Roman"/>
          <w:color w:val="000000"/>
          <w:sz w:val="20"/>
        </w:rPr>
        <w:t xml:space="preserve">s motion, including future noneconomic damages, asking: </w:t>
      </w:r>
      <w:r>
        <w:rPr>
          <w:rFonts w:ascii="Times New Roman" w:hAnsi="Times New Roman" w:cs="Times New Roman"/>
          <w:color w:val="000000"/>
          <w:sz w:val="20"/>
        </w:rPr>
        <w:t>“</w:t>
      </w:r>
      <w:r>
        <w:rPr>
          <w:rFonts w:ascii="Times New Roman" w:hAnsi="Times New Roman" w:cs="Times New Roman"/>
          <w:color w:val="000000"/>
          <w:sz w:val="20"/>
        </w:rPr>
        <w:t>Is the $33 million awa</w:t>
      </w:r>
      <w:r>
        <w:rPr>
          <w:rFonts w:ascii="Times New Roman" w:hAnsi="Times New Roman" w:cs="Times New Roman"/>
          <w:color w:val="000000"/>
          <w:sz w:val="20"/>
        </w:rPr>
        <w:t>rd for future non-economic damages based on [Johnson</w:t>
      </w:r>
      <w:r>
        <w:rPr>
          <w:rFonts w:ascii="Times New Roman" w:hAnsi="Times New Roman" w:cs="Times New Roman"/>
          <w:color w:val="000000"/>
          <w:sz w:val="20"/>
        </w:rPr>
        <w:t>’</w:t>
      </w:r>
      <w:r>
        <w:rPr>
          <w:rFonts w:ascii="Times New Roman" w:hAnsi="Times New Roman" w:cs="Times New Roman"/>
          <w:color w:val="000000"/>
          <w:sz w:val="20"/>
        </w:rPr>
        <w:t>s] argument to award $1 million for each year of lost life expectancy? If so, is this award improper as a matter of law?</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The trial court held a hearing on the motions the same day it issued its tentat</w:t>
      </w:r>
      <w:r>
        <w:rPr>
          <w:rFonts w:ascii="Times New Roman" w:hAnsi="Times New Roman" w:cs="Times New Roman"/>
          <w:color w:val="000000"/>
          <w:sz w:val="20"/>
        </w:rPr>
        <w:t>ive ruling. Not surprisingly, Monsanto</w:t>
      </w:r>
      <w:r>
        <w:rPr>
          <w:rFonts w:ascii="Times New Roman" w:hAnsi="Times New Roman" w:cs="Times New Roman"/>
          <w:color w:val="000000"/>
          <w:sz w:val="20"/>
        </w:rPr>
        <w:t>’</w:t>
      </w:r>
      <w:r>
        <w:rPr>
          <w:rFonts w:ascii="Times New Roman" w:hAnsi="Times New Roman" w:cs="Times New Roman"/>
          <w:color w:val="000000"/>
          <w:sz w:val="20"/>
        </w:rPr>
        <w:t>s counsel argued that the $33 million award was improper as a matter of law. The trial court noted that Johnson had presented evidence that he would live no more than two years, shortening his life expectancy by 33 ye</w:t>
      </w:r>
      <w:r>
        <w:rPr>
          <w:rFonts w:ascii="Times New Roman" w:hAnsi="Times New Roman" w:cs="Times New Roman"/>
          <w:color w:val="000000"/>
          <w:sz w:val="20"/>
        </w:rPr>
        <w:t>ars, and the court and Monsanto</w:t>
      </w:r>
      <w:r>
        <w:rPr>
          <w:rFonts w:ascii="Times New Roman" w:hAnsi="Times New Roman" w:cs="Times New Roman"/>
          <w:color w:val="000000"/>
          <w:sz w:val="20"/>
        </w:rPr>
        <w:t>’</w:t>
      </w:r>
      <w:r>
        <w:rPr>
          <w:rFonts w:ascii="Times New Roman" w:hAnsi="Times New Roman" w:cs="Times New Roman"/>
          <w:color w:val="000000"/>
          <w:sz w:val="20"/>
        </w:rPr>
        <w:t>s counsel discussed whether that meant Johnson was entitled to no more than $2 million in future noneconomic damages. Johnson</w:t>
      </w:r>
      <w:r>
        <w:rPr>
          <w:rFonts w:ascii="Times New Roman" w:hAnsi="Times New Roman" w:cs="Times New Roman"/>
          <w:color w:val="000000"/>
          <w:sz w:val="20"/>
        </w:rPr>
        <w:t>’</w:t>
      </w:r>
      <w:r>
        <w:rPr>
          <w:rFonts w:ascii="Times New Roman" w:hAnsi="Times New Roman" w:cs="Times New Roman"/>
          <w:color w:val="000000"/>
          <w:sz w:val="20"/>
        </w:rPr>
        <w:t>s attorney, by contrast, argued that Johnson was permitted to seek both $1 million for each year o</w:t>
      </w:r>
      <w:r>
        <w:rPr>
          <w:rFonts w:ascii="Times New Roman" w:hAnsi="Times New Roman" w:cs="Times New Roman"/>
          <w:color w:val="000000"/>
          <w:sz w:val="20"/>
        </w:rPr>
        <w:t>f his expected remaining life as well as for the loss of enjoyment of 33 years of his life. The parties also argued at length about whether Johnson was entitled to punitive damages. At the close of the hearing, the court asked that both parties submit prop</w:t>
      </w:r>
      <w:r>
        <w:rPr>
          <w:rFonts w:ascii="Times New Roman" w:hAnsi="Times New Roman" w:cs="Times New Roman"/>
          <w:color w:val="000000"/>
          <w:sz w:val="20"/>
        </w:rPr>
        <w:t>osed orders.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Around two weeks after the hearing, the trial court adopted an order that does not appear to have been submitted by either party. Although the parties had discussed future noneconomic damages at the hearing, the court</w:t>
      </w:r>
      <w:r>
        <w:rPr>
          <w:rFonts w:ascii="Times New Roman" w:hAnsi="Times New Roman" w:cs="Times New Roman"/>
          <w:color w:val="000000"/>
          <w:sz w:val="20"/>
        </w:rPr>
        <w:t>’</w:t>
      </w:r>
      <w:r>
        <w:rPr>
          <w:rFonts w:ascii="Times New Roman" w:hAnsi="Times New Roman" w:cs="Times New Roman"/>
          <w:color w:val="000000"/>
          <w:sz w:val="20"/>
        </w:rPr>
        <w:t>s order did not address</w:t>
      </w:r>
      <w:r>
        <w:rPr>
          <w:rFonts w:ascii="Times New Roman" w:hAnsi="Times New Roman" w:cs="Times New Roman"/>
          <w:color w:val="000000"/>
          <w:sz w:val="20"/>
        </w:rPr>
        <w:t xml:space="preserve"> them and the award thus remained the same.</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The court did, however, address punitive damages. It reversed its position from its tentative opinion and concluded that Johnson had in fact shown by clear and convincing evidence that the company as a whole acted maliciously. It also stated that the jury </w:t>
      </w:r>
      <w:r>
        <w:rPr>
          <w:rFonts w:ascii="Times New Roman" w:hAnsi="Times New Roman" w:cs="Times New Roman"/>
          <w:color w:val="000000"/>
          <w:sz w:val="20"/>
        </w:rPr>
        <w:t>could have found that Monsanto</w:t>
      </w:r>
      <w:r>
        <w:rPr>
          <w:rFonts w:ascii="Times New Roman" w:hAnsi="Times New Roman" w:cs="Times New Roman"/>
          <w:color w:val="000000"/>
          <w:sz w:val="20"/>
        </w:rPr>
        <w:t>’</w:t>
      </w:r>
      <w:r>
        <w:rPr>
          <w:rFonts w:ascii="Times New Roman" w:hAnsi="Times New Roman" w:cs="Times New Roman"/>
          <w:color w:val="000000"/>
          <w:sz w:val="20"/>
        </w:rPr>
        <w:t xml:space="preserve">s decision to continue marketing glyphosate-based herbicides despite a possible link with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xml:space="preserve"> constituted corporate malice for purposes of punitive damages. The court explained that malice does not require </w:t>
      </w:r>
      <w:r>
        <w:rPr>
          <w:rFonts w:ascii="Times New Roman" w:hAnsi="Times New Roman" w:cs="Times New Roman"/>
          <w:color w:val="000000"/>
          <w:sz w:val="20"/>
        </w:rPr>
        <w:t xml:space="preserve">the intent to harm, and that </w:t>
      </w:r>
      <w:r>
        <w:rPr>
          <w:rFonts w:ascii="Times New Roman" w:hAnsi="Times New Roman" w:cs="Times New Roman"/>
          <w:color w:val="000000"/>
          <w:sz w:val="20"/>
        </w:rPr>
        <w:lastRenderedPageBreak/>
        <w:t>conscious disregard for another</w:t>
      </w:r>
      <w:r>
        <w:rPr>
          <w:rFonts w:ascii="Times New Roman" w:hAnsi="Times New Roman" w:cs="Times New Roman"/>
          <w:color w:val="000000"/>
          <w:sz w:val="20"/>
        </w:rPr>
        <w:t>’</w:t>
      </w:r>
      <w:r>
        <w:rPr>
          <w:rFonts w:ascii="Times New Roman" w:hAnsi="Times New Roman" w:cs="Times New Roman"/>
          <w:color w:val="000000"/>
          <w:sz w:val="20"/>
        </w:rPr>
        <w:t>s safety may be sufficient where the defendant is aware of its conduct</w:t>
      </w:r>
      <w:r>
        <w:rPr>
          <w:rFonts w:ascii="Times New Roman" w:hAnsi="Times New Roman" w:cs="Times New Roman"/>
          <w:color w:val="000000"/>
          <w:sz w:val="20"/>
        </w:rPr>
        <w:t>’</w:t>
      </w:r>
      <w:r>
        <w:rPr>
          <w:rFonts w:ascii="Times New Roman" w:hAnsi="Times New Roman" w:cs="Times New Roman"/>
          <w:color w:val="000000"/>
          <w:sz w:val="20"/>
        </w:rPr>
        <w:t>s probable dangerous consequences and willfully fails to avoid such consequences. (</w:t>
      </w:r>
      <w:r>
        <w:rPr>
          <w:rFonts w:ascii="Times New Roman" w:hAnsi="Times New Roman" w:cs="Times New Roman"/>
          <w:i/>
          <w:color w:val="0000FF"/>
          <w:sz w:val="20"/>
        </w:rPr>
        <w:t>Pfeifer v. John Crane, Inc.</w:t>
      </w:r>
      <w:r>
        <w:rPr>
          <w:rFonts w:ascii="Times New Roman" w:hAnsi="Times New Roman" w:cs="Times New Roman"/>
          <w:color w:val="0000FF"/>
          <w:sz w:val="20"/>
        </w:rPr>
        <w:t xml:space="preserve"> (2013) 220 Ca</w:t>
      </w:r>
      <w:r>
        <w:rPr>
          <w:rFonts w:ascii="Times New Roman" w:hAnsi="Times New Roman" w:cs="Times New Roman"/>
          <w:color w:val="0000FF"/>
          <w:sz w:val="20"/>
        </w:rPr>
        <w:t>l.App.4th 1270, 1299</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Still, the trial court reduced the amount of the award on federal due process grounds. Relying on </w:t>
      </w:r>
      <w:r>
        <w:rPr>
          <w:rFonts w:ascii="Times New Roman" w:hAnsi="Times New Roman" w:cs="Times New Roman"/>
          <w:i/>
          <w:color w:val="0000FF"/>
          <w:sz w:val="20"/>
        </w:rPr>
        <w:t>State Farm Mut. Auto. Ins. Co. v. Campbell</w:t>
      </w:r>
      <w:r>
        <w:rPr>
          <w:rFonts w:ascii="Times New Roman" w:hAnsi="Times New Roman" w:cs="Times New Roman"/>
          <w:color w:val="0000FF"/>
          <w:sz w:val="20"/>
        </w:rPr>
        <w:t xml:space="preserve"> (2003) 538 U.S. 408</w:t>
      </w:r>
      <w:r>
        <w:rPr>
          <w:rFonts w:ascii="Times New Roman" w:hAnsi="Times New Roman" w:cs="Times New Roman"/>
          <w:color w:val="000000"/>
          <w:sz w:val="20"/>
        </w:rPr>
        <w:t>, the court noted that the Fourteenth Amendment limits punitive damages</w:t>
      </w:r>
      <w:r>
        <w:rPr>
          <w:rFonts w:ascii="Times New Roman" w:hAnsi="Times New Roman" w:cs="Times New Roman"/>
          <w:color w:val="000000"/>
          <w:sz w:val="20"/>
        </w:rPr>
        <w:t>. After analyzing Monsanto</w:t>
      </w:r>
      <w:r>
        <w:rPr>
          <w:rFonts w:ascii="Times New Roman" w:hAnsi="Times New Roman" w:cs="Times New Roman"/>
          <w:color w:val="000000"/>
          <w:sz w:val="20"/>
        </w:rPr>
        <w:t>’</w:t>
      </w:r>
      <w:r>
        <w:rPr>
          <w:rFonts w:ascii="Times New Roman" w:hAnsi="Times New Roman" w:cs="Times New Roman"/>
          <w:color w:val="000000"/>
          <w:sz w:val="20"/>
        </w:rPr>
        <w:t>s degree of reprehensibility and the disparity between the compensatory damages award and the punitive damages award (</w:t>
      </w:r>
      <w:r>
        <w:rPr>
          <w:rFonts w:ascii="Times New Roman" w:hAnsi="Times New Roman" w:cs="Times New Roman"/>
          <w:i/>
          <w:color w:val="0000FF"/>
          <w:sz w:val="20"/>
        </w:rPr>
        <w:t>Simon v. San Paolo U.S. Holding Co., Inc.</w:t>
      </w:r>
      <w:r>
        <w:rPr>
          <w:rFonts w:ascii="Times New Roman" w:hAnsi="Times New Roman" w:cs="Times New Roman"/>
          <w:color w:val="0000FF"/>
          <w:sz w:val="20"/>
        </w:rPr>
        <w:t xml:space="preserve"> (2005) 35 Cal.4th 1159, 1172</w:t>
      </w:r>
      <w:r>
        <w:rPr>
          <w:rFonts w:ascii="Times New Roman" w:hAnsi="Times New Roman" w:cs="Times New Roman"/>
          <w:color w:val="000000"/>
          <w:sz w:val="20"/>
        </w:rPr>
        <w:t xml:space="preserve"> (</w:t>
      </w:r>
      <w:r>
        <w:rPr>
          <w:rFonts w:ascii="Times New Roman" w:hAnsi="Times New Roman" w:cs="Times New Roman"/>
          <w:i/>
          <w:color w:val="000000"/>
          <w:sz w:val="20"/>
        </w:rPr>
        <w:t>Simon</w:t>
      </w:r>
      <w:r>
        <w:rPr>
          <w:rFonts w:ascii="Times New Roman" w:hAnsi="Times New Roman" w:cs="Times New Roman"/>
          <w:color w:val="000000"/>
          <w:sz w:val="20"/>
        </w:rPr>
        <w:t>)), the court reduced the award of</w:t>
      </w:r>
      <w:r>
        <w:rPr>
          <w:rFonts w:ascii="Times New Roman" w:hAnsi="Times New Roman" w:cs="Times New Roman"/>
          <w:color w:val="000000"/>
          <w:sz w:val="20"/>
        </w:rPr>
        <w:t xml:space="preserve"> punitive damages to $39,253,209.35, the same amount as the compensatory damages awarded by the jury. Johnson accepted the reduction of punitive damages. Monsanto thereafter appealed, which permitted Johnson to challenge the reduction of punitive damages o</w:t>
      </w:r>
      <w:r>
        <w:rPr>
          <w:rFonts w:ascii="Times New Roman" w:hAnsi="Times New Roman" w:cs="Times New Roman"/>
          <w:color w:val="000000"/>
          <w:sz w:val="20"/>
        </w:rPr>
        <w:t>n cross-appeal. (</w:t>
      </w:r>
      <w:r>
        <w:rPr>
          <w:rFonts w:ascii="Times New Roman" w:hAnsi="Times New Roman" w:cs="Times New Roman"/>
          <w:i/>
          <w:color w:val="0000FF"/>
          <w:sz w:val="20"/>
        </w:rPr>
        <w:t>Miller v. National American Life Ins. Co.</w:t>
      </w:r>
      <w:r>
        <w:rPr>
          <w:rFonts w:ascii="Times New Roman" w:hAnsi="Times New Roman" w:cs="Times New Roman"/>
          <w:color w:val="0000FF"/>
          <w:sz w:val="20"/>
        </w:rPr>
        <w:t xml:space="preserve"> (1976) 54 Cal.App.3d 331, 345</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55" w:name="co_anchor_I2fa499f1cad611eaad728cad1da01"/>
      <w:bookmarkEnd w:id="55"/>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600" w:after="200"/>
        <w:jc w:val="center"/>
        <w:rPr>
          <w:rFonts w:ascii="Times New Roman" w:hAnsi="Times New Roman" w:cs="Times New Roman"/>
          <w:color w:val="000000"/>
          <w:sz w:val="20"/>
        </w:rPr>
      </w:pPr>
      <w:r>
        <w:rPr>
          <w:rFonts w:ascii="Times New Roman" w:hAnsi="Times New Roman" w:cs="Times New Roman"/>
          <w:color w:val="000000"/>
          <w:sz w:val="20"/>
        </w:rPr>
        <w:t>2. The Evidence Does Not Support the Entire Award for Future Noneconomic Damages.</w:t>
      </w:r>
    </w:p>
    <w:p w:rsidR="00000000" w:rsidRDefault="00A96DC8">
      <w:pPr>
        <w:autoSpaceDE w:val="0"/>
        <w:autoSpaceDN w:val="0"/>
        <w:adjustRightInd w:val="0"/>
        <w:jc w:val="both"/>
        <w:rPr>
          <w:rFonts w:ascii="Times New Roman" w:hAnsi="Times New Roman" w:cs="Times New Roman"/>
          <w:color w:val="000000"/>
          <w:sz w:val="20"/>
        </w:rPr>
      </w:pPr>
      <w:bookmarkStart w:id="56" w:name="co_pp_sp_999_26_1"/>
      <w:bookmarkEnd w:id="56"/>
      <w:r>
        <w:rPr>
          <w:rFonts w:ascii="Times New Roman" w:hAnsi="Times New Roman" w:cs="Times New Roman"/>
          <w:b/>
          <w:color w:val="000000"/>
          <w:sz w:val="20"/>
        </w:rPr>
        <w:t>*26</w:t>
      </w:r>
      <w:r>
        <w:rPr>
          <w:rFonts w:ascii="Times New Roman" w:hAnsi="Times New Roman" w:cs="Times New Roman"/>
          <w:color w:val="000000"/>
          <w:sz w:val="20"/>
        </w:rPr>
        <w:t xml:space="preserve"> Monsanto does not challenge the jury</w:t>
      </w:r>
      <w:r>
        <w:rPr>
          <w:rFonts w:ascii="Times New Roman" w:hAnsi="Times New Roman" w:cs="Times New Roman"/>
          <w:color w:val="000000"/>
          <w:sz w:val="20"/>
        </w:rPr>
        <w:t>’</w:t>
      </w:r>
      <w:r>
        <w:rPr>
          <w:rFonts w:ascii="Times New Roman" w:hAnsi="Times New Roman" w:cs="Times New Roman"/>
          <w:color w:val="000000"/>
          <w:sz w:val="20"/>
        </w:rPr>
        <w:t>s award of $4 million in past noneconomic losses. But it does argue that the $33 million in future noneconomic damages are not supported by the evidence of Johnson</w:t>
      </w:r>
      <w:r>
        <w:rPr>
          <w:rFonts w:ascii="Times New Roman" w:hAnsi="Times New Roman" w:cs="Times New Roman"/>
          <w:color w:val="000000"/>
          <w:sz w:val="20"/>
        </w:rPr>
        <w:t>’</w:t>
      </w:r>
      <w:r>
        <w:rPr>
          <w:rFonts w:ascii="Times New Roman" w:hAnsi="Times New Roman" w:cs="Times New Roman"/>
          <w:color w:val="000000"/>
          <w:sz w:val="20"/>
        </w:rPr>
        <w:t>s life expectanc</w:t>
      </w:r>
      <w:r>
        <w:rPr>
          <w:rFonts w:ascii="Times New Roman" w:hAnsi="Times New Roman" w:cs="Times New Roman"/>
          <w:color w:val="000000"/>
          <w:sz w:val="20"/>
        </w:rPr>
        <w:t>y. We agree that this portion of the award should be reduced.</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w:t>
      </w:r>
      <w:r>
        <w:rPr>
          <w:rFonts w:ascii="Times New Roman" w:hAnsi="Times New Roman" w:cs="Times New Roman"/>
          <w:color w:val="000000"/>
          <w:sz w:val="20"/>
        </w:rPr>
        <w:t xml:space="preserve">The amount of damages is a fact question, first committed to the discretion of the jury .... [Jurors] see and hear the witnesses and frequently ... see the injury and the impairment that has </w:t>
      </w:r>
      <w:r>
        <w:rPr>
          <w:rFonts w:ascii="Times New Roman" w:hAnsi="Times New Roman" w:cs="Times New Roman"/>
          <w:color w:val="000000"/>
          <w:sz w:val="20"/>
        </w:rPr>
        <w:t xml:space="preserve">resulted therefrom. As a result, all presumptions are in favor of the decision of the trial court [citation]. The power of the appellate court differs materially from that of the trial court in passing on this question. An appellate court can interfere on </w:t>
      </w:r>
      <w:r>
        <w:rPr>
          <w:rFonts w:ascii="Times New Roman" w:hAnsi="Times New Roman" w:cs="Times New Roman"/>
          <w:color w:val="000000"/>
          <w:sz w:val="20"/>
        </w:rPr>
        <w:t>the ground that the judgment is excessive only on the ground that the verdict is so large that, at first blush, it shocks the conscience and suggests passion, prejudice or corruption on the part of the jury.</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Seffert v. Los Angeles Transit Lines</w:t>
      </w:r>
      <w:r>
        <w:rPr>
          <w:rFonts w:ascii="Times New Roman" w:hAnsi="Times New Roman" w:cs="Times New Roman"/>
          <w:color w:val="0000FF"/>
          <w:sz w:val="20"/>
        </w:rPr>
        <w:t xml:space="preserve"> (1961) 56</w:t>
      </w:r>
      <w:r>
        <w:rPr>
          <w:rFonts w:ascii="Times New Roman" w:hAnsi="Times New Roman" w:cs="Times New Roman"/>
          <w:color w:val="0000FF"/>
          <w:sz w:val="20"/>
        </w:rPr>
        <w:t xml:space="preserve"> Cal.2d 498, 506</w:t>
      </w:r>
      <w:r>
        <w:rPr>
          <w:rFonts w:ascii="Times New Roman" w:hAnsi="Times New Roman" w:cs="Times New Roman"/>
          <w:color w:val="0000FF"/>
          <w:sz w:val="20"/>
        </w:rPr>
        <w:t>–</w:t>
      </w:r>
      <w:r>
        <w:rPr>
          <w:rFonts w:ascii="Times New Roman" w:hAnsi="Times New Roman" w:cs="Times New Roman"/>
          <w:color w:val="0000FF"/>
          <w:sz w:val="20"/>
        </w:rPr>
        <w:t>507</w:t>
      </w:r>
      <w:r>
        <w:rPr>
          <w:rFonts w:ascii="Times New Roman" w:hAnsi="Times New Roman" w:cs="Times New Roman"/>
          <w:color w:val="000000"/>
          <w:sz w:val="20"/>
        </w:rPr>
        <w:t xml:space="preserve"> (</w:t>
      </w:r>
      <w:r>
        <w:rPr>
          <w:rFonts w:ascii="Times New Roman" w:hAnsi="Times New Roman" w:cs="Times New Roman"/>
          <w:i/>
          <w:color w:val="000000"/>
          <w:sz w:val="20"/>
        </w:rPr>
        <w:t>Seffert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An appellate court ... cannot weigh the evidence and pass on the credibility of the witnesses as a juror does. To hold an award excessive it must be so large as to indicate passion or prejudice on the part of the jurors.</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Id.</w:t>
      </w:r>
      <w:r>
        <w:rPr>
          <w:rFonts w:ascii="Times New Roman" w:hAnsi="Times New Roman" w:cs="Times New Roman"/>
          <w:color w:val="0000FF"/>
          <w:sz w:val="20"/>
        </w:rPr>
        <w:t xml:space="preserve"> at p. 507</w:t>
      </w:r>
      <w:r>
        <w:rPr>
          <w:rFonts w:ascii="Times New Roman" w:hAnsi="Times New Roman" w:cs="Times New Roman"/>
          <w:color w:val="000000"/>
          <w:sz w:val="20"/>
        </w:rPr>
        <w:t xml:space="preserve">.) Put </w:t>
      </w:r>
      <w:r>
        <w:rPr>
          <w:rFonts w:ascii="Times New Roman" w:hAnsi="Times New Roman" w:cs="Times New Roman"/>
          <w:color w:val="000000"/>
          <w:sz w:val="20"/>
        </w:rPr>
        <w:t xml:space="preserve">another way, </w:t>
      </w:r>
      <w:r>
        <w:rPr>
          <w:rFonts w:ascii="Times New Roman" w:hAnsi="Times New Roman" w:cs="Times New Roman"/>
          <w:color w:val="000000"/>
          <w:sz w:val="20"/>
        </w:rPr>
        <w:t>“</w:t>
      </w:r>
      <w:r>
        <w:rPr>
          <w:rFonts w:ascii="Times New Roman" w:hAnsi="Times New Roman" w:cs="Times New Roman"/>
          <w:color w:val="000000"/>
          <w:sz w:val="20"/>
        </w:rPr>
        <w:t>We review the jury</w:t>
      </w:r>
      <w:r>
        <w:rPr>
          <w:rFonts w:ascii="Times New Roman" w:hAnsi="Times New Roman" w:cs="Times New Roman"/>
          <w:color w:val="000000"/>
          <w:sz w:val="20"/>
        </w:rPr>
        <w:t>’</w:t>
      </w:r>
      <w:r>
        <w:rPr>
          <w:rFonts w:ascii="Times New Roman" w:hAnsi="Times New Roman" w:cs="Times New Roman"/>
          <w:color w:val="000000"/>
          <w:sz w:val="20"/>
        </w:rPr>
        <w:t>s damages award for substantial evidence, giving due deference to the jury</w:t>
      </w:r>
      <w:r>
        <w:rPr>
          <w:rFonts w:ascii="Times New Roman" w:hAnsi="Times New Roman" w:cs="Times New Roman"/>
          <w:color w:val="000000"/>
          <w:sz w:val="20"/>
        </w:rPr>
        <w:t>’</w:t>
      </w:r>
      <w:r>
        <w:rPr>
          <w:rFonts w:ascii="Times New Roman" w:hAnsi="Times New Roman" w:cs="Times New Roman"/>
          <w:color w:val="000000"/>
          <w:sz w:val="20"/>
        </w:rPr>
        <w:t>s verdict.</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Bigler-Engler v. Breg, Inc.</w:t>
      </w:r>
      <w:r>
        <w:rPr>
          <w:rFonts w:ascii="Times New Roman" w:hAnsi="Times New Roman" w:cs="Times New Roman"/>
          <w:color w:val="0000FF"/>
          <w:sz w:val="20"/>
        </w:rPr>
        <w:t xml:space="preserve"> (2017) 7 Cal.App.5th 276, 300</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There is no fixed standard by which we can determ</w:t>
      </w:r>
      <w:r>
        <w:rPr>
          <w:rFonts w:ascii="Times New Roman" w:hAnsi="Times New Roman" w:cs="Times New Roman"/>
          <w:color w:val="000000"/>
          <w:sz w:val="20"/>
        </w:rPr>
        <w:t>ine that an award is excessive. We usually defer to the jury</w:t>
      </w:r>
      <w:r>
        <w:rPr>
          <w:rFonts w:ascii="Times New Roman" w:hAnsi="Times New Roman" w:cs="Times New Roman"/>
          <w:color w:val="000000"/>
          <w:sz w:val="20"/>
        </w:rPr>
        <w:t>’</w:t>
      </w:r>
      <w:r>
        <w:rPr>
          <w:rFonts w:ascii="Times New Roman" w:hAnsi="Times New Roman" w:cs="Times New Roman"/>
          <w:color w:val="000000"/>
          <w:sz w:val="20"/>
        </w:rPr>
        <w:t>s discretion unless the record shows inflammatory evidence, misleading instructions, or improper argument by counsel that would suggest the jury relied on improper considerations.</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Mendoza v. Ci</w:t>
      </w:r>
      <w:r>
        <w:rPr>
          <w:rFonts w:ascii="Times New Roman" w:hAnsi="Times New Roman" w:cs="Times New Roman"/>
          <w:i/>
          <w:color w:val="0000FF"/>
          <w:sz w:val="20"/>
        </w:rPr>
        <w:t>ty of West Covina</w:t>
      </w:r>
      <w:r>
        <w:rPr>
          <w:rFonts w:ascii="Times New Roman" w:hAnsi="Times New Roman" w:cs="Times New Roman"/>
          <w:color w:val="0000FF"/>
          <w:sz w:val="20"/>
        </w:rPr>
        <w:t xml:space="preserve"> (2012) 206 Cal.App.4th 702, 720</w:t>
      </w:r>
      <w:r>
        <w:rPr>
          <w:rFonts w:ascii="Times New Roman" w:hAnsi="Times New Roman" w:cs="Times New Roman"/>
          <w:color w:val="0000FF"/>
          <w:sz w:val="20"/>
        </w:rPr>
        <w:t>–</w:t>
      </w:r>
      <w:r>
        <w:rPr>
          <w:rFonts w:ascii="Times New Roman" w:hAnsi="Times New Roman" w:cs="Times New Roman"/>
          <w:color w:val="0000FF"/>
          <w:sz w:val="20"/>
        </w:rPr>
        <w:t>721</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We first recognize that there was overwhelming evidence that Johnson has suffered, and will continue to suffer for the rest of his life, significant pain and suffering. Both Johnson and his wife tes</w:t>
      </w:r>
      <w:r>
        <w:rPr>
          <w:rFonts w:ascii="Times New Roman" w:hAnsi="Times New Roman" w:cs="Times New Roman"/>
          <w:color w:val="000000"/>
          <w:sz w:val="20"/>
        </w:rPr>
        <w:t xml:space="preserve">tified that after his diagnosis, he had trouble sleeping, he was in a lot of pain, and he was </w:t>
      </w:r>
      <w:r>
        <w:rPr>
          <w:rFonts w:ascii="Times New Roman" w:hAnsi="Times New Roman" w:cs="Times New Roman"/>
          <w:color w:val="000000"/>
          <w:sz w:val="20"/>
        </w:rPr>
        <w:t>“</w:t>
      </w:r>
      <w:r>
        <w:rPr>
          <w:rFonts w:ascii="Times New Roman" w:hAnsi="Times New Roman" w:cs="Times New Roman"/>
          <w:color w:val="000000"/>
          <w:sz w:val="20"/>
        </w:rPr>
        <w:t>very depressed, especially when he was getting [chemotherapy] treatments.</w:t>
      </w:r>
      <w:r>
        <w:rPr>
          <w:rFonts w:ascii="Times New Roman" w:hAnsi="Times New Roman" w:cs="Times New Roman"/>
          <w:color w:val="000000"/>
          <w:sz w:val="20"/>
        </w:rPr>
        <w:t>”</w:t>
      </w:r>
      <w:r>
        <w:rPr>
          <w:rFonts w:ascii="Times New Roman" w:hAnsi="Times New Roman" w:cs="Times New Roman"/>
          <w:color w:val="000000"/>
          <w:sz w:val="20"/>
        </w:rPr>
        <w:t xml:space="preserve"> After one round of chemotherapy, Johnson stayed in bed for an entire month and hardly </w:t>
      </w:r>
      <w:r>
        <w:rPr>
          <w:rFonts w:ascii="Times New Roman" w:hAnsi="Times New Roman" w:cs="Times New Roman"/>
          <w:color w:val="000000"/>
          <w:sz w:val="20"/>
        </w:rPr>
        <w:t xml:space="preserve">ate or drank, and he was unable to help his wife with housework as he previously did. He suffered painful lesions on different parts of his body and testified that </w:t>
      </w:r>
      <w:r>
        <w:rPr>
          <w:rFonts w:ascii="Times New Roman" w:hAnsi="Times New Roman" w:cs="Times New Roman"/>
          <w:color w:val="000000"/>
          <w:sz w:val="20"/>
        </w:rPr>
        <w:t>“</w:t>
      </w:r>
      <w:r>
        <w:rPr>
          <w:rFonts w:ascii="Times New Roman" w:hAnsi="Times New Roman" w:cs="Times New Roman"/>
          <w:color w:val="000000"/>
          <w:sz w:val="20"/>
        </w:rPr>
        <w:t>I</w:t>
      </w:r>
      <w:r>
        <w:rPr>
          <w:rFonts w:ascii="Times New Roman" w:hAnsi="Times New Roman" w:cs="Times New Roman"/>
          <w:color w:val="000000"/>
          <w:sz w:val="20"/>
        </w:rPr>
        <w:t>’</w:t>
      </w:r>
      <w:r>
        <w:rPr>
          <w:rFonts w:ascii="Times New Roman" w:hAnsi="Times New Roman" w:cs="Times New Roman"/>
          <w:color w:val="000000"/>
          <w:sz w:val="20"/>
        </w:rPr>
        <w:t>ve had it bad everywhere.</w:t>
      </w:r>
      <w:r>
        <w:rPr>
          <w:rFonts w:ascii="Times New Roman" w:hAnsi="Times New Roman" w:cs="Times New Roman"/>
          <w:color w:val="000000"/>
          <w:sz w:val="20"/>
        </w:rPr>
        <w:t>”</w:t>
      </w:r>
      <w:r>
        <w:rPr>
          <w:rFonts w:ascii="Times New Roman" w:hAnsi="Times New Roman" w:cs="Times New Roman"/>
          <w:color w:val="000000"/>
          <w:sz w:val="20"/>
        </w:rPr>
        <w:t xml:space="preserve"> The lesions were so painful that it was sometimes difficult fo</w:t>
      </w:r>
      <w:r>
        <w:rPr>
          <w:rFonts w:ascii="Times New Roman" w:hAnsi="Times New Roman" w:cs="Times New Roman"/>
          <w:color w:val="000000"/>
          <w:sz w:val="20"/>
        </w:rPr>
        <w:t xml:space="preserve">r him to put on shoes or wear certain clothes, and he told his family he would wear a loose bedsheet if he could because he did not want anything to touch his skin. Johnson was also embarrassed by the lesions because people stared at his skin when he went </w:t>
      </w:r>
      <w:r>
        <w:rPr>
          <w:rFonts w:ascii="Times New Roman" w:hAnsi="Times New Roman" w:cs="Times New Roman"/>
          <w:color w:val="000000"/>
          <w:sz w:val="20"/>
        </w:rPr>
        <w:t xml:space="preserve">out, so he wore a hat and glasses to cover up. He avoided going to swimming pools because he did not want people to worry that his skin condition was contagious. </w:t>
      </w:r>
      <w:r>
        <w:rPr>
          <w:rFonts w:ascii="Times New Roman" w:hAnsi="Times New Roman" w:cs="Times New Roman"/>
          <w:color w:val="0000FF"/>
          <w:sz w:val="20"/>
        </w:rPr>
        <w:t>Cancer</w:t>
      </w:r>
      <w:r>
        <w:rPr>
          <w:rFonts w:ascii="Times New Roman" w:hAnsi="Times New Roman" w:cs="Times New Roman"/>
          <w:color w:val="000000"/>
          <w:sz w:val="20"/>
        </w:rPr>
        <w:t xml:space="preserve"> also affected Johnson</w:t>
      </w:r>
      <w:r>
        <w:rPr>
          <w:rFonts w:ascii="Times New Roman" w:hAnsi="Times New Roman" w:cs="Times New Roman"/>
          <w:color w:val="000000"/>
          <w:sz w:val="20"/>
        </w:rPr>
        <w:t>’</w:t>
      </w:r>
      <w:r>
        <w:rPr>
          <w:rFonts w:ascii="Times New Roman" w:hAnsi="Times New Roman" w:cs="Times New Roman"/>
          <w:color w:val="000000"/>
          <w:sz w:val="20"/>
        </w:rPr>
        <w:t xml:space="preserve">s memory and gave him permanent </w:t>
      </w:r>
      <w:r>
        <w:rPr>
          <w:rFonts w:ascii="Times New Roman" w:hAnsi="Times New Roman" w:cs="Times New Roman"/>
          <w:color w:val="0000FF"/>
          <w:sz w:val="20"/>
        </w:rPr>
        <w:t>neuropathy</w:t>
      </w:r>
      <w:r>
        <w:rPr>
          <w:rFonts w:ascii="Times New Roman" w:hAnsi="Times New Roman" w:cs="Times New Roman"/>
          <w:color w:val="000000"/>
          <w:sz w:val="20"/>
        </w:rPr>
        <w:t xml:space="preserve"> in his feet and hands.</w:t>
      </w:r>
      <w:r>
        <w:rPr>
          <w:rFonts w:ascii="Times New Roman" w:hAnsi="Times New Roman" w:cs="Times New Roman"/>
          <w:color w:val="000000"/>
          <w:sz w:val="20"/>
        </w:rPr>
        <w:t xml:space="preserve"> The </w:t>
      </w:r>
      <w:r>
        <w:rPr>
          <w:rFonts w:ascii="Times New Roman" w:hAnsi="Times New Roman" w:cs="Times New Roman"/>
          <w:color w:val="0000FF"/>
          <w:sz w:val="20"/>
        </w:rPr>
        <w:t>neuropathy</w:t>
      </w:r>
      <w:r>
        <w:rPr>
          <w:rFonts w:ascii="Times New Roman" w:hAnsi="Times New Roman" w:cs="Times New Roman"/>
          <w:color w:val="000000"/>
          <w:sz w:val="20"/>
        </w:rPr>
        <w:t xml:space="preserve"> in his hands prevented Johnson from playing golf, and he also was unable to play sports with his children. He tried to stay positive for his two sons, but he cried at night after the children went to bed. Johnson was scheduled to have anoth</w:t>
      </w:r>
      <w:r>
        <w:rPr>
          <w:rFonts w:ascii="Times New Roman" w:hAnsi="Times New Roman" w:cs="Times New Roman"/>
          <w:color w:val="000000"/>
          <w:sz w:val="20"/>
        </w:rPr>
        <w:t xml:space="preserve">er round of chemotherapy about a month after he testified, and he explained that </w:t>
      </w:r>
      <w:r>
        <w:rPr>
          <w:rFonts w:ascii="Times New Roman" w:hAnsi="Times New Roman" w:cs="Times New Roman"/>
          <w:color w:val="000000"/>
          <w:sz w:val="20"/>
        </w:rPr>
        <w:t>“</w:t>
      </w:r>
      <w:r>
        <w:rPr>
          <w:rFonts w:ascii="Times New Roman" w:hAnsi="Times New Roman" w:cs="Times New Roman"/>
          <w:color w:val="000000"/>
          <w:sz w:val="20"/>
        </w:rPr>
        <w:t>I</w:t>
      </w:r>
      <w:r>
        <w:rPr>
          <w:rFonts w:ascii="Times New Roman" w:hAnsi="Times New Roman" w:cs="Times New Roman"/>
          <w:color w:val="000000"/>
          <w:sz w:val="20"/>
        </w:rPr>
        <w:t>’</w:t>
      </w:r>
      <w:r>
        <w:rPr>
          <w:rFonts w:ascii="Times New Roman" w:hAnsi="Times New Roman" w:cs="Times New Roman"/>
          <w:color w:val="000000"/>
          <w:sz w:val="20"/>
        </w:rPr>
        <w:t>m getting to the point where I</w:t>
      </w:r>
      <w:r>
        <w:rPr>
          <w:rFonts w:ascii="Times New Roman" w:hAnsi="Times New Roman" w:cs="Times New Roman"/>
          <w:color w:val="000000"/>
          <w:sz w:val="20"/>
        </w:rPr>
        <w:t>’</w:t>
      </w:r>
      <w:r>
        <w:rPr>
          <w:rFonts w:ascii="Times New Roman" w:hAnsi="Times New Roman" w:cs="Times New Roman"/>
          <w:color w:val="000000"/>
          <w:sz w:val="20"/>
        </w:rPr>
        <w:t>m really tired of going through the whole thing of chemo and all of that, because it really takes everything out of you.</w:t>
      </w:r>
      <w:r>
        <w:rPr>
          <w:rFonts w:ascii="Times New Roman" w:hAnsi="Times New Roman" w:cs="Times New Roman"/>
          <w:color w:val="000000"/>
          <w:sz w:val="20"/>
        </w:rPr>
        <w:t>”</w:t>
      </w:r>
      <w:r>
        <w:rPr>
          <w:rFonts w:ascii="Times New Roman" w:hAnsi="Times New Roman" w:cs="Times New Roman"/>
          <w:color w:val="000000"/>
          <w:sz w:val="20"/>
        </w:rPr>
        <w:t xml:space="preserve"> For these reasons, </w:t>
      </w:r>
      <w:r>
        <w:rPr>
          <w:rFonts w:ascii="Times New Roman" w:hAnsi="Times New Roman" w:cs="Times New Roman"/>
          <w:color w:val="000000"/>
          <w:sz w:val="20"/>
        </w:rPr>
        <w:t>we cannot say that the award of future noneconomic damages, though large, shocked the conscious. (</w:t>
      </w:r>
      <w:r>
        <w:rPr>
          <w:rFonts w:ascii="Times New Roman" w:hAnsi="Times New Roman" w:cs="Times New Roman"/>
          <w:i/>
          <w:color w:val="0000FF"/>
          <w:sz w:val="20"/>
        </w:rPr>
        <w:t>Seffert</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56 Cal.2d at pp. 506</w:t>
      </w:r>
      <w:r>
        <w:rPr>
          <w:rFonts w:ascii="Times New Roman" w:hAnsi="Times New Roman" w:cs="Times New Roman"/>
          <w:color w:val="0000FF"/>
          <w:sz w:val="20"/>
        </w:rPr>
        <w:t>–</w:t>
      </w:r>
      <w:r>
        <w:rPr>
          <w:rFonts w:ascii="Times New Roman" w:hAnsi="Times New Roman" w:cs="Times New Roman"/>
          <w:color w:val="0000FF"/>
          <w:sz w:val="20"/>
        </w:rPr>
        <w:t>507</w:t>
      </w:r>
      <w:r>
        <w:rPr>
          <w:rFonts w:ascii="Times New Roman" w:hAnsi="Times New Roman" w:cs="Times New Roman"/>
          <w:color w:val="000000"/>
          <w:sz w:val="20"/>
        </w:rPr>
        <w:t xml:space="preserve">; </w:t>
      </w:r>
      <w:r>
        <w:rPr>
          <w:rFonts w:ascii="Times New Roman" w:hAnsi="Times New Roman" w:cs="Times New Roman"/>
          <w:i/>
          <w:color w:val="0000FF"/>
          <w:sz w:val="20"/>
        </w:rPr>
        <w:t>Rodriguez v. McDonnell Douglas Corp.</w:t>
      </w:r>
      <w:r>
        <w:rPr>
          <w:rFonts w:ascii="Times New Roman" w:hAnsi="Times New Roman" w:cs="Times New Roman"/>
          <w:color w:val="0000FF"/>
          <w:sz w:val="20"/>
        </w:rPr>
        <w:t xml:space="preserve"> (1978) 87 Cal.App.3d 626, 654</w:t>
      </w:r>
      <w:r>
        <w:rPr>
          <w:rFonts w:ascii="Times New Roman" w:hAnsi="Times New Roman" w:cs="Times New Roman"/>
          <w:color w:val="0000FF"/>
          <w:sz w:val="20"/>
        </w:rPr>
        <w:t>–</w:t>
      </w:r>
      <w:r>
        <w:rPr>
          <w:rFonts w:ascii="Times New Roman" w:hAnsi="Times New Roman" w:cs="Times New Roman"/>
          <w:color w:val="0000FF"/>
          <w:sz w:val="20"/>
        </w:rPr>
        <w:t>655</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The fact that an award may set a precedent </w:t>
      </w:r>
      <w:r>
        <w:rPr>
          <w:rFonts w:ascii="Times New Roman" w:hAnsi="Times New Roman" w:cs="Times New Roman"/>
          <w:color w:val="000000"/>
          <w:sz w:val="20"/>
        </w:rPr>
        <w:t>by its size does not in and of itself render it suspect.</w:t>
      </w:r>
      <w:r>
        <w:rPr>
          <w:rFonts w:ascii="Times New Roman" w:hAnsi="Times New Roman" w:cs="Times New Roman"/>
          <w:color w:val="000000"/>
          <w:sz w:val="20"/>
        </w:rPr>
        <w:t>”</w:t>
      </w:r>
      <w:r>
        <w:rPr>
          <w:rFonts w:ascii="Times New Roman" w:hAnsi="Times New Roman" w:cs="Times New Roman"/>
          <w:color w:val="000000"/>
          <w:sz w:val="20"/>
        </w:rPr>
        <w:t xml:space="preserve">], disapproved on another ground by </w:t>
      </w:r>
      <w:r>
        <w:rPr>
          <w:rFonts w:ascii="Times New Roman" w:hAnsi="Times New Roman" w:cs="Times New Roman"/>
          <w:i/>
          <w:color w:val="0000FF"/>
          <w:sz w:val="20"/>
        </w:rPr>
        <w:t>Coito v. Superior Court</w:t>
      </w:r>
      <w:r>
        <w:rPr>
          <w:rFonts w:ascii="Times New Roman" w:hAnsi="Times New Roman" w:cs="Times New Roman"/>
          <w:color w:val="0000FF"/>
          <w:sz w:val="20"/>
        </w:rPr>
        <w:t xml:space="preserve"> (2012) 54 Cal.4th 480, 499</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57" w:name="co_pp_sp_999_27_1"/>
      <w:bookmarkEnd w:id="57"/>
      <w:r>
        <w:rPr>
          <w:rFonts w:ascii="Times New Roman" w:hAnsi="Times New Roman" w:cs="Times New Roman"/>
          <w:b/>
          <w:color w:val="000000"/>
          <w:sz w:val="20"/>
        </w:rPr>
        <w:t>*27</w:t>
      </w:r>
      <w:r>
        <w:rPr>
          <w:rFonts w:ascii="Times New Roman" w:hAnsi="Times New Roman" w:cs="Times New Roman"/>
          <w:color w:val="000000"/>
          <w:sz w:val="20"/>
        </w:rPr>
        <w:t xml:space="preserve"> Nor can we agree with Monsanto</w:t>
      </w:r>
      <w:r>
        <w:rPr>
          <w:rFonts w:ascii="Times New Roman" w:hAnsi="Times New Roman" w:cs="Times New Roman"/>
          <w:color w:val="000000"/>
          <w:sz w:val="20"/>
        </w:rPr>
        <w:t>’</w:t>
      </w:r>
      <w:r>
        <w:rPr>
          <w:rFonts w:ascii="Times New Roman" w:hAnsi="Times New Roman" w:cs="Times New Roman"/>
          <w:color w:val="000000"/>
          <w:sz w:val="20"/>
        </w:rPr>
        <w:t>s argument that the award on its face i</w:t>
      </w:r>
      <w:r>
        <w:rPr>
          <w:rFonts w:ascii="Times New Roman" w:hAnsi="Times New Roman" w:cs="Times New Roman"/>
          <w:color w:val="000000"/>
          <w:sz w:val="20"/>
        </w:rPr>
        <w:t>ndicates jurors</w:t>
      </w:r>
      <w:r>
        <w:rPr>
          <w:rFonts w:ascii="Times New Roman" w:hAnsi="Times New Roman" w:cs="Times New Roman"/>
          <w:color w:val="000000"/>
          <w:sz w:val="20"/>
        </w:rPr>
        <w:t>’</w:t>
      </w:r>
      <w:r>
        <w:rPr>
          <w:rFonts w:ascii="Times New Roman" w:hAnsi="Times New Roman" w:cs="Times New Roman"/>
          <w:color w:val="000000"/>
          <w:sz w:val="20"/>
        </w:rPr>
        <w:t xml:space="preserve"> passion, prejudice or corruption. (</w:t>
      </w:r>
      <w:r>
        <w:rPr>
          <w:rFonts w:ascii="Times New Roman" w:hAnsi="Times New Roman" w:cs="Times New Roman"/>
          <w:i/>
          <w:color w:val="0000FF"/>
          <w:sz w:val="20"/>
        </w:rPr>
        <w:t>Seffert</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56 Cal.2d at pp. 506</w:t>
      </w:r>
      <w:r>
        <w:rPr>
          <w:rFonts w:ascii="Times New Roman" w:hAnsi="Times New Roman" w:cs="Times New Roman"/>
          <w:color w:val="0000FF"/>
          <w:sz w:val="20"/>
        </w:rPr>
        <w:t>–</w:t>
      </w:r>
      <w:r>
        <w:rPr>
          <w:rFonts w:ascii="Times New Roman" w:hAnsi="Times New Roman" w:cs="Times New Roman"/>
          <w:color w:val="0000FF"/>
          <w:sz w:val="20"/>
        </w:rPr>
        <w:t>507</w:t>
      </w:r>
      <w:r>
        <w:rPr>
          <w:rFonts w:ascii="Times New Roman" w:hAnsi="Times New Roman" w:cs="Times New Roman"/>
          <w:color w:val="000000"/>
          <w:sz w:val="20"/>
        </w:rPr>
        <w:t xml:space="preserve">.) As Johnson notes, jurors deliberated for three days, and they </w:t>
      </w:r>
      <w:r>
        <w:rPr>
          <w:rFonts w:ascii="Times New Roman" w:hAnsi="Times New Roman" w:cs="Times New Roman"/>
          <w:color w:val="000000"/>
          <w:sz w:val="20"/>
        </w:rPr>
        <w:lastRenderedPageBreak/>
        <w:t xml:space="preserve">asked three questions during deliberations, signs that they </w:t>
      </w:r>
      <w:r>
        <w:rPr>
          <w:rFonts w:ascii="Times New Roman" w:hAnsi="Times New Roman" w:cs="Times New Roman"/>
          <w:color w:val="000000"/>
          <w:sz w:val="20"/>
        </w:rPr>
        <w:t>“</w:t>
      </w:r>
      <w:r>
        <w:rPr>
          <w:rFonts w:ascii="Times New Roman" w:hAnsi="Times New Roman" w:cs="Times New Roman"/>
          <w:color w:val="000000"/>
          <w:sz w:val="20"/>
        </w:rPr>
        <w:t>carefully consider[ed] all of the issu</w:t>
      </w:r>
      <w:r>
        <w:rPr>
          <w:rFonts w:ascii="Times New Roman" w:hAnsi="Times New Roman" w:cs="Times New Roman"/>
          <w:color w:val="000000"/>
          <w:sz w:val="20"/>
        </w:rPr>
        <w:t>es in arriving at [their] verdict,</w:t>
      </w:r>
      <w:r>
        <w:rPr>
          <w:rFonts w:ascii="Times New Roman" w:hAnsi="Times New Roman" w:cs="Times New Roman"/>
          <w:color w:val="000000"/>
          <w:sz w:val="20"/>
        </w:rPr>
        <w:t>”</w:t>
      </w:r>
      <w:r>
        <w:rPr>
          <w:rFonts w:ascii="Times New Roman" w:hAnsi="Times New Roman" w:cs="Times New Roman"/>
          <w:color w:val="000000"/>
          <w:sz w:val="20"/>
        </w:rPr>
        <w:t xml:space="preserve"> as the trial court characterized their service. (E.g., </w:t>
      </w:r>
      <w:r>
        <w:rPr>
          <w:rFonts w:ascii="Times New Roman" w:hAnsi="Times New Roman" w:cs="Times New Roman"/>
          <w:i/>
          <w:color w:val="0000FF"/>
          <w:sz w:val="20"/>
        </w:rPr>
        <w:t>People v. Jurado</w:t>
      </w:r>
      <w:r>
        <w:rPr>
          <w:rFonts w:ascii="Times New Roman" w:hAnsi="Times New Roman" w:cs="Times New Roman"/>
          <w:color w:val="0000FF"/>
          <w:sz w:val="20"/>
        </w:rPr>
        <w:t xml:space="preserve"> (2006) 38 Cal.4th 72, 134</w:t>
      </w:r>
      <w:r>
        <w:rPr>
          <w:rFonts w:ascii="Times New Roman" w:hAnsi="Times New Roman" w:cs="Times New Roman"/>
          <w:color w:val="000000"/>
          <w:sz w:val="20"/>
        </w:rPr>
        <w:t xml:space="preserve"> [five days</w:t>
      </w:r>
      <w:r>
        <w:rPr>
          <w:rFonts w:ascii="Times New Roman" w:hAnsi="Times New Roman" w:cs="Times New Roman"/>
          <w:color w:val="000000"/>
          <w:sz w:val="20"/>
        </w:rPr>
        <w:t>’</w:t>
      </w:r>
      <w:r>
        <w:rPr>
          <w:rFonts w:ascii="Times New Roman" w:hAnsi="Times New Roman" w:cs="Times New Roman"/>
          <w:color w:val="000000"/>
          <w:sz w:val="20"/>
        </w:rPr>
        <w:t xml:space="preserve"> deliberation on penalty phase strongly implied a verdict based on </w:t>
      </w:r>
      <w:r>
        <w:rPr>
          <w:rFonts w:ascii="Times New Roman" w:hAnsi="Times New Roman" w:cs="Times New Roman"/>
          <w:color w:val="000000"/>
          <w:sz w:val="20"/>
        </w:rPr>
        <w:t>“</w:t>
      </w:r>
      <w:r>
        <w:rPr>
          <w:rFonts w:ascii="Times New Roman" w:hAnsi="Times New Roman" w:cs="Times New Roman"/>
          <w:color w:val="000000"/>
          <w:sz w:val="20"/>
        </w:rPr>
        <w:t>a full and careful review of the relevant e</w:t>
      </w:r>
      <w:r>
        <w:rPr>
          <w:rFonts w:ascii="Times New Roman" w:hAnsi="Times New Roman" w:cs="Times New Roman"/>
          <w:color w:val="000000"/>
          <w:sz w:val="20"/>
        </w:rPr>
        <w:t>vidence and of the legitimate arguments for and against the death penalty</w:t>
      </w:r>
      <w:r>
        <w:rPr>
          <w:rFonts w:ascii="Times New Roman" w:hAnsi="Times New Roman" w:cs="Times New Roman"/>
          <w:color w:val="000000"/>
          <w:sz w:val="20"/>
        </w:rPr>
        <w:t>”</w:t>
      </w:r>
      <w:r>
        <w:rPr>
          <w:rFonts w:ascii="Times New Roman" w:hAnsi="Times New Roman" w:cs="Times New Roman"/>
          <w:color w:val="000000"/>
          <w:sz w:val="20"/>
        </w:rPr>
        <w:t>].) And although the amount of punitive damages awarded ($250 million) was high, it was two thirds of what Johnson requested in exemplary damages ($373 million), another sign that th</w:t>
      </w:r>
      <w:r>
        <w:rPr>
          <w:rFonts w:ascii="Times New Roman" w:hAnsi="Times New Roman" w:cs="Times New Roman"/>
          <w:color w:val="000000"/>
          <w:sz w:val="20"/>
        </w:rPr>
        <w:t xml:space="preserve">at jurors were not swayed by passion or prejudice in calculating damages. (Cf. </w:t>
      </w:r>
      <w:r>
        <w:rPr>
          <w:rFonts w:ascii="Times New Roman" w:hAnsi="Times New Roman" w:cs="Times New Roman"/>
          <w:i/>
          <w:color w:val="0000FF"/>
          <w:sz w:val="20"/>
        </w:rPr>
        <w:t>Buell-Wilson v. Ford Motor Co.</w:t>
      </w:r>
      <w:r>
        <w:rPr>
          <w:rFonts w:ascii="Times New Roman" w:hAnsi="Times New Roman" w:cs="Times New Roman"/>
          <w:color w:val="0000FF"/>
          <w:sz w:val="20"/>
        </w:rPr>
        <w:t xml:space="preserve"> (2006) 141 Cal.App.4th 525, 553</w:t>
      </w:r>
      <w:r>
        <w:rPr>
          <w:rFonts w:ascii="Times New Roman" w:hAnsi="Times New Roman" w:cs="Times New Roman"/>
          <w:color w:val="000000"/>
          <w:sz w:val="20"/>
        </w:rPr>
        <w:t xml:space="preserve"> [jury</w:t>
      </w:r>
      <w:r>
        <w:rPr>
          <w:rFonts w:ascii="Times New Roman" w:hAnsi="Times New Roman" w:cs="Times New Roman"/>
          <w:color w:val="000000"/>
          <w:sz w:val="20"/>
        </w:rPr>
        <w:t>’</w:t>
      </w:r>
      <w:r>
        <w:rPr>
          <w:rFonts w:ascii="Times New Roman" w:hAnsi="Times New Roman" w:cs="Times New Roman"/>
          <w:color w:val="000000"/>
          <w:sz w:val="20"/>
        </w:rPr>
        <w:t xml:space="preserve">s award of 13 times the amount counsel requested in noneconomic damages and three times what was requested for loss-of-consortium damages indicated jurors acted out of passion or prejudice], disapproved on another ground by </w:t>
      </w:r>
      <w:r>
        <w:rPr>
          <w:rFonts w:ascii="Times New Roman" w:hAnsi="Times New Roman" w:cs="Times New Roman"/>
          <w:i/>
          <w:color w:val="0000FF"/>
          <w:sz w:val="20"/>
        </w:rPr>
        <w:t>Kim v. Toyota Motor Corp.</w:t>
      </w:r>
      <w:r>
        <w:rPr>
          <w:rFonts w:ascii="Times New Roman" w:hAnsi="Times New Roman" w:cs="Times New Roman"/>
          <w:color w:val="0000FF"/>
          <w:sz w:val="20"/>
        </w:rPr>
        <w:t xml:space="preserve"> (2018)</w:t>
      </w:r>
      <w:r>
        <w:rPr>
          <w:rFonts w:ascii="Times New Roman" w:hAnsi="Times New Roman" w:cs="Times New Roman"/>
          <w:color w:val="0000FF"/>
          <w:sz w:val="20"/>
        </w:rPr>
        <w:t xml:space="preserve"> 6 Cal.5th 21, 38, fn. 6</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True enough, the trial court</w:t>
      </w:r>
      <w:r>
        <w:rPr>
          <w:rFonts w:ascii="Times New Roman" w:hAnsi="Times New Roman" w:cs="Times New Roman"/>
          <w:color w:val="000000"/>
          <w:sz w:val="20"/>
        </w:rPr>
        <w:t>’</w:t>
      </w:r>
      <w:r>
        <w:rPr>
          <w:rFonts w:ascii="Times New Roman" w:hAnsi="Times New Roman" w:cs="Times New Roman"/>
          <w:color w:val="000000"/>
          <w:sz w:val="20"/>
        </w:rPr>
        <w:t xml:space="preserve">s order reducing the award of punitive damages stated, </w:t>
      </w:r>
      <w:r>
        <w:rPr>
          <w:rFonts w:ascii="Times New Roman" w:hAnsi="Times New Roman" w:cs="Times New Roman"/>
          <w:color w:val="000000"/>
          <w:sz w:val="20"/>
        </w:rPr>
        <w:t>“</w:t>
      </w:r>
      <w:r>
        <w:rPr>
          <w:rFonts w:ascii="Times New Roman" w:hAnsi="Times New Roman" w:cs="Times New Roman"/>
          <w:color w:val="000000"/>
          <w:sz w:val="20"/>
        </w:rPr>
        <w:t xml:space="preserve">In a case such as this where there is a </w:t>
      </w:r>
      <w:r>
        <w:rPr>
          <w:rFonts w:ascii="Times New Roman" w:hAnsi="Times New Roman" w:cs="Times New Roman"/>
          <w:i/>
          <w:color w:val="000000"/>
          <w:sz w:val="20"/>
        </w:rPr>
        <w:t>punitive element</w:t>
      </w:r>
      <w:r>
        <w:rPr>
          <w:rFonts w:ascii="Times New Roman" w:hAnsi="Times New Roman" w:cs="Times New Roman"/>
          <w:color w:val="000000"/>
          <w:sz w:val="20"/>
        </w:rPr>
        <w:t xml:space="preserve"> to the compensatory damages award, the law supports only a one to one ratio for punit</w:t>
      </w:r>
      <w:r>
        <w:rPr>
          <w:rFonts w:ascii="Times New Roman" w:hAnsi="Times New Roman" w:cs="Times New Roman"/>
          <w:color w:val="000000"/>
          <w:sz w:val="20"/>
        </w:rPr>
        <w:t>ive damages.</w:t>
      </w:r>
      <w:r>
        <w:rPr>
          <w:rFonts w:ascii="Times New Roman" w:hAnsi="Times New Roman" w:cs="Times New Roman"/>
          <w:color w:val="000000"/>
          <w:sz w:val="20"/>
        </w:rPr>
        <w:t>”</w:t>
      </w:r>
      <w:r>
        <w:rPr>
          <w:rFonts w:ascii="Times New Roman" w:hAnsi="Times New Roman" w:cs="Times New Roman"/>
          <w:color w:val="000000"/>
          <w:sz w:val="20"/>
        </w:rPr>
        <w:t xml:space="preserve"> (Italics added.) The court was relying on the principle that when considering the proper ratio between compensatory and punitive damages the court may consider whether a substantial compensatory award for emotional distress </w:t>
      </w:r>
      <w:r>
        <w:rPr>
          <w:rFonts w:ascii="Times New Roman" w:hAnsi="Times New Roman" w:cs="Times New Roman"/>
          <w:color w:val="000000"/>
          <w:sz w:val="20"/>
        </w:rPr>
        <w:t>“</w:t>
      </w:r>
      <w:r>
        <w:rPr>
          <w:rFonts w:ascii="Times New Roman" w:hAnsi="Times New Roman" w:cs="Times New Roman"/>
          <w:color w:val="000000"/>
          <w:sz w:val="20"/>
        </w:rPr>
        <w:t>may be based in p</w:t>
      </w:r>
      <w:r>
        <w:rPr>
          <w:rFonts w:ascii="Times New Roman" w:hAnsi="Times New Roman" w:cs="Times New Roman"/>
          <w:color w:val="000000"/>
          <w:sz w:val="20"/>
        </w:rPr>
        <w:t>art on indignation at the defendant</w:t>
      </w:r>
      <w:r>
        <w:rPr>
          <w:rFonts w:ascii="Times New Roman" w:hAnsi="Times New Roman" w:cs="Times New Roman"/>
          <w:color w:val="000000"/>
          <w:sz w:val="20"/>
        </w:rPr>
        <w:t>’</w:t>
      </w:r>
      <w:r>
        <w:rPr>
          <w:rFonts w:ascii="Times New Roman" w:hAnsi="Times New Roman" w:cs="Times New Roman"/>
          <w:color w:val="000000"/>
          <w:sz w:val="20"/>
        </w:rPr>
        <w:t>s act and may be so large as to serve, itself, as a deterrent.</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Simon</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35 Cal.4th at p. 1189</w:t>
      </w:r>
      <w:r>
        <w:rPr>
          <w:rFonts w:ascii="Times New Roman" w:hAnsi="Times New Roman" w:cs="Times New Roman"/>
          <w:color w:val="000000"/>
          <w:sz w:val="20"/>
        </w:rPr>
        <w:t xml:space="preserve">, citing </w:t>
      </w:r>
      <w:r>
        <w:rPr>
          <w:rFonts w:ascii="Times New Roman" w:hAnsi="Times New Roman" w:cs="Times New Roman"/>
          <w:i/>
          <w:color w:val="0000FF"/>
          <w:sz w:val="20"/>
        </w:rPr>
        <w:t>State Farm Mut. Auto Ins. Co. v. Campbell</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538 U.S. at pp. 425</w:t>
      </w:r>
      <w:r>
        <w:rPr>
          <w:rFonts w:ascii="Times New Roman" w:hAnsi="Times New Roman" w:cs="Times New Roman"/>
          <w:color w:val="0000FF"/>
          <w:sz w:val="20"/>
        </w:rPr>
        <w:t>–</w:t>
      </w:r>
      <w:r>
        <w:rPr>
          <w:rFonts w:ascii="Times New Roman" w:hAnsi="Times New Roman" w:cs="Times New Roman"/>
          <w:color w:val="0000FF"/>
          <w:sz w:val="20"/>
        </w:rPr>
        <w:t>426</w:t>
      </w:r>
      <w:r>
        <w:rPr>
          <w:rFonts w:ascii="Times New Roman" w:hAnsi="Times New Roman" w:cs="Times New Roman"/>
          <w:color w:val="000000"/>
          <w:sz w:val="20"/>
        </w:rPr>
        <w:t>.) The court</w:t>
      </w:r>
      <w:r>
        <w:rPr>
          <w:rFonts w:ascii="Times New Roman" w:hAnsi="Times New Roman" w:cs="Times New Roman"/>
          <w:color w:val="000000"/>
          <w:sz w:val="20"/>
        </w:rPr>
        <w:t>’</w:t>
      </w:r>
      <w:r>
        <w:rPr>
          <w:rFonts w:ascii="Times New Roman" w:hAnsi="Times New Roman" w:cs="Times New Roman"/>
          <w:color w:val="000000"/>
          <w:sz w:val="20"/>
        </w:rPr>
        <w:t>s statement was not, as M</w:t>
      </w:r>
      <w:r>
        <w:rPr>
          <w:rFonts w:ascii="Times New Roman" w:hAnsi="Times New Roman" w:cs="Times New Roman"/>
          <w:color w:val="000000"/>
          <w:sz w:val="20"/>
        </w:rPr>
        <w:t xml:space="preserve">onsanto characterizes it, </w:t>
      </w:r>
      <w:r>
        <w:rPr>
          <w:rFonts w:ascii="Times New Roman" w:hAnsi="Times New Roman" w:cs="Times New Roman"/>
          <w:color w:val="000000"/>
          <w:sz w:val="20"/>
        </w:rPr>
        <w:t>“</w:t>
      </w:r>
      <w:r>
        <w:rPr>
          <w:rFonts w:ascii="Times New Roman" w:hAnsi="Times New Roman" w:cs="Times New Roman"/>
          <w:color w:val="000000"/>
          <w:sz w:val="20"/>
        </w:rPr>
        <w:t>tantamount to a decision that the jury was improperly inflamed.</w:t>
      </w:r>
      <w:r>
        <w:rPr>
          <w:rFonts w:ascii="Times New Roman" w:hAnsi="Times New Roman" w:cs="Times New Roman"/>
          <w:color w:val="000000"/>
          <w:sz w:val="20"/>
        </w:rPr>
        <w:t>”</w:t>
      </w:r>
      <w:r>
        <w:rPr>
          <w:rFonts w:ascii="Times New Roman" w:hAnsi="Times New Roman" w:cs="Times New Roman"/>
          <w:color w:val="000000"/>
          <w:sz w:val="20"/>
        </w:rPr>
        <w:t xml:space="preserve"> Monsanto</w:t>
      </w:r>
      <w:r>
        <w:rPr>
          <w:rFonts w:ascii="Times New Roman" w:hAnsi="Times New Roman" w:cs="Times New Roman"/>
          <w:color w:val="000000"/>
          <w:sz w:val="20"/>
        </w:rPr>
        <w:t>’</w:t>
      </w:r>
      <w:r>
        <w:rPr>
          <w:rFonts w:ascii="Times New Roman" w:hAnsi="Times New Roman" w:cs="Times New Roman"/>
          <w:color w:val="000000"/>
          <w:sz w:val="20"/>
        </w:rPr>
        <w:t xml:space="preserve">s reliance on </w:t>
      </w:r>
      <w:r>
        <w:rPr>
          <w:rFonts w:ascii="Times New Roman" w:hAnsi="Times New Roman" w:cs="Times New Roman"/>
          <w:i/>
          <w:color w:val="0000FF"/>
          <w:sz w:val="20"/>
        </w:rPr>
        <w:t>California Shoppers, Inc. v. Royal Globe Ins. Co.</w:t>
      </w:r>
      <w:r>
        <w:rPr>
          <w:rFonts w:ascii="Times New Roman" w:hAnsi="Times New Roman" w:cs="Times New Roman"/>
          <w:color w:val="0000FF"/>
          <w:sz w:val="20"/>
        </w:rPr>
        <w:t xml:space="preserve"> (1985) 175 Cal.App.3d 1</w:t>
      </w:r>
      <w:r>
        <w:rPr>
          <w:rFonts w:ascii="Times New Roman" w:hAnsi="Times New Roman" w:cs="Times New Roman"/>
          <w:color w:val="000000"/>
          <w:sz w:val="20"/>
        </w:rPr>
        <w:t xml:space="preserve"> is misplaced. That case involved a blatant and improper appeal to p</w:t>
      </w:r>
      <w:r>
        <w:rPr>
          <w:rFonts w:ascii="Times New Roman" w:hAnsi="Times New Roman" w:cs="Times New Roman"/>
          <w:color w:val="000000"/>
          <w:sz w:val="20"/>
        </w:rPr>
        <w:t>assion when plaintiff</w:t>
      </w:r>
      <w:r>
        <w:rPr>
          <w:rFonts w:ascii="Times New Roman" w:hAnsi="Times New Roman" w:cs="Times New Roman"/>
          <w:color w:val="000000"/>
          <w:sz w:val="20"/>
        </w:rPr>
        <w:t>’</w:t>
      </w:r>
      <w:r>
        <w:rPr>
          <w:rFonts w:ascii="Times New Roman" w:hAnsi="Times New Roman" w:cs="Times New Roman"/>
          <w:color w:val="000000"/>
          <w:sz w:val="20"/>
        </w:rPr>
        <w:t xml:space="preserve">s counsel improperly argued to the jury that compensatory damages should be high to justify substantial punitive damage award and that the compensatory award should be high so it would </w:t>
      </w:r>
      <w:r>
        <w:rPr>
          <w:rFonts w:ascii="Times New Roman" w:hAnsi="Times New Roman" w:cs="Times New Roman"/>
          <w:color w:val="000000"/>
          <w:sz w:val="20"/>
        </w:rPr>
        <w:t>“</w:t>
      </w:r>
      <w:r>
        <w:rPr>
          <w:rFonts w:ascii="Times New Roman" w:hAnsi="Times New Roman" w:cs="Times New Roman"/>
          <w:color w:val="000000"/>
          <w:sz w:val="20"/>
        </w:rPr>
        <w:t>hold up all the way to the Supreme Court.</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Id.</w:t>
      </w:r>
      <w:r>
        <w:rPr>
          <w:rFonts w:ascii="Times New Roman" w:hAnsi="Times New Roman" w:cs="Times New Roman"/>
          <w:color w:val="0000FF"/>
          <w:sz w:val="20"/>
        </w:rPr>
        <w:t xml:space="preserve"> </w:t>
      </w:r>
      <w:r>
        <w:rPr>
          <w:rFonts w:ascii="Times New Roman" w:hAnsi="Times New Roman" w:cs="Times New Roman"/>
          <w:color w:val="0000FF"/>
          <w:sz w:val="20"/>
        </w:rPr>
        <w:t>at pp. 67</w:t>
      </w:r>
      <w:r>
        <w:rPr>
          <w:rFonts w:ascii="Times New Roman" w:hAnsi="Times New Roman" w:cs="Times New Roman"/>
          <w:color w:val="0000FF"/>
          <w:sz w:val="20"/>
        </w:rPr>
        <w:t>–</w:t>
      </w:r>
      <w:r>
        <w:rPr>
          <w:rFonts w:ascii="Times New Roman" w:hAnsi="Times New Roman" w:cs="Times New Roman"/>
          <w:color w:val="0000FF"/>
          <w:sz w:val="20"/>
        </w:rPr>
        <w:t>68</w:t>
      </w:r>
      <w:r>
        <w:rPr>
          <w:rFonts w:ascii="Times New Roman" w:hAnsi="Times New Roman" w:cs="Times New Roman"/>
          <w:color w:val="000000"/>
          <w:sz w:val="20"/>
        </w:rPr>
        <w:t>.) There was no such improper appeal to passion here when Johnson</w:t>
      </w:r>
      <w:r>
        <w:rPr>
          <w:rFonts w:ascii="Times New Roman" w:hAnsi="Times New Roman" w:cs="Times New Roman"/>
          <w:color w:val="000000"/>
          <w:sz w:val="20"/>
        </w:rPr>
        <w:t>’</w:t>
      </w:r>
      <w:r>
        <w:rPr>
          <w:rFonts w:ascii="Times New Roman" w:hAnsi="Times New Roman" w:cs="Times New Roman"/>
          <w:color w:val="000000"/>
          <w:sz w:val="20"/>
        </w:rPr>
        <w:t xml:space="preserve">s counsel requested $37 million in noneconomic losses. Even though counsel was admonished for his separate argument regarding </w:t>
      </w:r>
      <w:r>
        <w:rPr>
          <w:rFonts w:ascii="Times New Roman" w:hAnsi="Times New Roman" w:cs="Times New Roman"/>
          <w:i/>
          <w:color w:val="000000"/>
          <w:sz w:val="20"/>
        </w:rPr>
        <w:t>punitive</w:t>
      </w:r>
      <w:r>
        <w:rPr>
          <w:rFonts w:ascii="Times New Roman" w:hAnsi="Times New Roman" w:cs="Times New Roman"/>
          <w:color w:val="000000"/>
          <w:sz w:val="20"/>
        </w:rPr>
        <w:t xml:space="preserve"> damages, we have no reason to believe the j</w:t>
      </w:r>
      <w:r>
        <w:rPr>
          <w:rFonts w:ascii="Times New Roman" w:hAnsi="Times New Roman" w:cs="Times New Roman"/>
          <w:color w:val="000000"/>
          <w:sz w:val="20"/>
        </w:rPr>
        <w:t>ury did not follow the trial court</w:t>
      </w:r>
      <w:r>
        <w:rPr>
          <w:rFonts w:ascii="Times New Roman" w:hAnsi="Times New Roman" w:cs="Times New Roman"/>
          <w:color w:val="000000"/>
          <w:sz w:val="20"/>
        </w:rPr>
        <w:t>’</w:t>
      </w:r>
      <w:r>
        <w:rPr>
          <w:rFonts w:ascii="Times New Roman" w:hAnsi="Times New Roman" w:cs="Times New Roman"/>
          <w:color w:val="000000"/>
          <w:sz w:val="20"/>
        </w:rPr>
        <w:t>s curative instruction.</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We agree with Monsanto, though, that the award of future noneconomic damages is not supported by evidence of Johnson</w:t>
      </w:r>
      <w:r>
        <w:rPr>
          <w:rFonts w:ascii="Times New Roman" w:hAnsi="Times New Roman" w:cs="Times New Roman"/>
          <w:color w:val="000000"/>
          <w:sz w:val="20"/>
        </w:rPr>
        <w:t>’</w:t>
      </w:r>
      <w:r>
        <w:rPr>
          <w:rFonts w:ascii="Times New Roman" w:hAnsi="Times New Roman" w:cs="Times New Roman"/>
          <w:color w:val="000000"/>
          <w:sz w:val="20"/>
        </w:rPr>
        <w:t xml:space="preserve">s life expectancy. The jury was instructed under </w:t>
      </w:r>
      <w:r>
        <w:rPr>
          <w:rFonts w:ascii="Times New Roman" w:hAnsi="Times New Roman" w:cs="Times New Roman"/>
          <w:color w:val="0000FF"/>
          <w:sz w:val="20"/>
        </w:rPr>
        <w:t>CACI No. 3905A</w:t>
      </w:r>
      <w:r>
        <w:rPr>
          <w:rFonts w:ascii="Times New Roman" w:hAnsi="Times New Roman" w:cs="Times New Roman"/>
          <w:color w:val="000000"/>
          <w:sz w:val="20"/>
        </w:rPr>
        <w:t xml:space="preserve"> that to recove</w:t>
      </w:r>
      <w:r>
        <w:rPr>
          <w:rFonts w:ascii="Times New Roman" w:hAnsi="Times New Roman" w:cs="Times New Roman"/>
          <w:color w:val="000000"/>
          <w:sz w:val="20"/>
        </w:rPr>
        <w:t xml:space="preserve">r for </w:t>
      </w:r>
      <w:r>
        <w:rPr>
          <w:rFonts w:ascii="Times New Roman" w:hAnsi="Times New Roman" w:cs="Times New Roman"/>
          <w:color w:val="000000"/>
          <w:sz w:val="20"/>
        </w:rPr>
        <w:t>“</w:t>
      </w:r>
      <w:r>
        <w:rPr>
          <w:rFonts w:ascii="Times New Roman" w:hAnsi="Times New Roman" w:cs="Times New Roman"/>
          <w:color w:val="000000"/>
          <w:sz w:val="20"/>
        </w:rPr>
        <w:t xml:space="preserve">future pain, mental suffering, loss of enjoyment of life, disfigurement, </w:t>
      </w:r>
      <w:r>
        <w:rPr>
          <w:rFonts w:ascii="Times New Roman" w:hAnsi="Times New Roman" w:cs="Times New Roman"/>
          <w:color w:val="000000"/>
          <w:sz w:val="20"/>
        </w:rPr>
        <w:t xml:space="preserve">physical impairment, inconvenience, grief, anxiety, humiliation and emotional distress, Mr. Johnson must prove that he is </w:t>
      </w:r>
      <w:r>
        <w:rPr>
          <w:rFonts w:ascii="Times New Roman" w:hAnsi="Times New Roman" w:cs="Times New Roman"/>
          <w:i/>
          <w:color w:val="000000"/>
          <w:sz w:val="20"/>
        </w:rPr>
        <w:t>reasonably certain to suffer that harm</w:t>
      </w:r>
      <w:r>
        <w:rPr>
          <w:rFonts w:ascii="Times New Roman" w:hAnsi="Times New Roman" w:cs="Times New Roman"/>
          <w:color w:val="000000"/>
          <w:sz w:val="20"/>
        </w:rPr>
        <w:t>.</w:t>
      </w:r>
      <w:r>
        <w:rPr>
          <w:rFonts w:ascii="Times New Roman" w:hAnsi="Times New Roman" w:cs="Times New Roman"/>
          <w:color w:val="000000"/>
          <w:sz w:val="20"/>
        </w:rPr>
        <w:t>”</w:t>
      </w:r>
      <w:r>
        <w:rPr>
          <w:rFonts w:ascii="Times New Roman" w:hAnsi="Times New Roman" w:cs="Times New Roman"/>
          <w:color w:val="000000"/>
          <w:sz w:val="20"/>
        </w:rPr>
        <w:t xml:space="preserve"> (Italics adde</w:t>
      </w:r>
      <w:r>
        <w:rPr>
          <w:rFonts w:ascii="Times New Roman" w:hAnsi="Times New Roman" w:cs="Times New Roman"/>
          <w:color w:val="000000"/>
          <w:sz w:val="20"/>
        </w:rPr>
        <w:t xml:space="preserve">d.) Jurors were further instructed that if they decided Johnson had suffered damages that will continue for the rest of his life, they </w:t>
      </w:r>
      <w:r>
        <w:rPr>
          <w:rFonts w:ascii="Times New Roman" w:hAnsi="Times New Roman" w:cs="Times New Roman"/>
          <w:color w:val="000000"/>
          <w:sz w:val="20"/>
        </w:rPr>
        <w:t>“</w:t>
      </w:r>
      <w:r>
        <w:rPr>
          <w:rFonts w:ascii="Times New Roman" w:hAnsi="Times New Roman" w:cs="Times New Roman"/>
          <w:color w:val="000000"/>
          <w:sz w:val="20"/>
        </w:rPr>
        <w:t>must determine how long he will probably live. According to National Vital Statistics Report published by the National C</w:t>
      </w:r>
      <w:r>
        <w:rPr>
          <w:rFonts w:ascii="Times New Roman" w:hAnsi="Times New Roman" w:cs="Times New Roman"/>
          <w:color w:val="000000"/>
          <w:sz w:val="20"/>
        </w:rPr>
        <w:t>enter for Health Statistics, a 46-year-old male is expected to live another 33 years. This is the average life expectancy. Some people live longer and others die sooner.</w:t>
      </w:r>
      <w:r>
        <w:rPr>
          <w:rFonts w:ascii="Times New Roman" w:hAnsi="Times New Roman" w:cs="Times New Roman"/>
          <w:color w:val="000000"/>
          <w:sz w:val="20"/>
        </w:rPr>
        <w:t>”</w:t>
      </w:r>
      <w:r>
        <w:rPr>
          <w:rFonts w:ascii="Times New Roman" w:hAnsi="Times New Roman" w:cs="Times New Roman"/>
          <w:color w:val="000000"/>
          <w:sz w:val="20"/>
        </w:rPr>
        <w:t xml:space="preserve"> In other words, jurors were told to award noneconomic damages that Johnson was reason</w:t>
      </w:r>
      <w:r>
        <w:rPr>
          <w:rFonts w:ascii="Times New Roman" w:hAnsi="Times New Roman" w:cs="Times New Roman"/>
          <w:color w:val="000000"/>
          <w:sz w:val="20"/>
        </w:rPr>
        <w:t xml:space="preserve">ably certain to suffer for the rest of his life, however long they determined that might be. As one treatise has put it, </w:t>
      </w:r>
      <w:r>
        <w:rPr>
          <w:rFonts w:ascii="Times New Roman" w:hAnsi="Times New Roman" w:cs="Times New Roman"/>
          <w:color w:val="000000"/>
          <w:sz w:val="20"/>
        </w:rPr>
        <w:t>“</w:t>
      </w:r>
      <w:r>
        <w:rPr>
          <w:rFonts w:ascii="Times New Roman" w:hAnsi="Times New Roman" w:cs="Times New Roman"/>
          <w:color w:val="000000"/>
          <w:sz w:val="20"/>
        </w:rPr>
        <w:t>[D]amages for future pain and suffering are based upon plaintiff</w:t>
      </w:r>
      <w:r>
        <w:rPr>
          <w:rFonts w:ascii="Times New Roman" w:hAnsi="Times New Roman" w:cs="Times New Roman"/>
          <w:color w:val="000000"/>
          <w:sz w:val="20"/>
        </w:rPr>
        <w:t>’</w:t>
      </w:r>
      <w:r>
        <w:rPr>
          <w:rFonts w:ascii="Times New Roman" w:hAnsi="Times New Roman" w:cs="Times New Roman"/>
          <w:color w:val="000000"/>
          <w:sz w:val="20"/>
        </w:rPr>
        <w:t>s probable life expectancy in his or her injured condition.... [C]omp</w:t>
      </w:r>
      <w:r>
        <w:rPr>
          <w:rFonts w:ascii="Times New Roman" w:hAnsi="Times New Roman" w:cs="Times New Roman"/>
          <w:color w:val="000000"/>
          <w:sz w:val="20"/>
        </w:rPr>
        <w:t xml:space="preserve">ensation for pain and suffering is recompense for pain and suffering </w:t>
      </w:r>
      <w:r>
        <w:rPr>
          <w:rFonts w:ascii="Times New Roman" w:hAnsi="Times New Roman" w:cs="Times New Roman"/>
          <w:i/>
          <w:color w:val="000000"/>
          <w:sz w:val="20"/>
        </w:rPr>
        <w:t>actually experienced</w:t>
      </w:r>
      <w:r>
        <w:rPr>
          <w:rFonts w:ascii="Times New Roman" w:hAnsi="Times New Roman" w:cs="Times New Roman"/>
          <w:color w:val="000000"/>
          <w:sz w:val="20"/>
        </w:rPr>
        <w:t>, and to the extent that premature death terminates the pain and suffering, compensation should be terminated.</w:t>
      </w:r>
      <w:r>
        <w:rPr>
          <w:rFonts w:ascii="Times New Roman" w:hAnsi="Times New Roman" w:cs="Times New Roman"/>
          <w:color w:val="000000"/>
          <w:sz w:val="20"/>
        </w:rPr>
        <w:t>”</w:t>
      </w:r>
      <w:r>
        <w:rPr>
          <w:rFonts w:ascii="Times New Roman" w:hAnsi="Times New Roman" w:cs="Times New Roman"/>
          <w:color w:val="000000"/>
          <w:sz w:val="20"/>
        </w:rPr>
        <w:t xml:space="preserve"> (2 Stein on Personal Injury Damages (3d ed. 1997) Pain </w:t>
      </w:r>
      <w:r>
        <w:rPr>
          <w:rFonts w:ascii="Times New Roman" w:hAnsi="Times New Roman" w:cs="Times New Roman"/>
          <w:color w:val="000000"/>
          <w:sz w:val="20"/>
        </w:rPr>
        <w:t>and Suffering, § 8:25, pp. 8-46 to 8-47, fn. omitted.)</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58" w:name="co_pp_sp_999_28_1"/>
      <w:bookmarkEnd w:id="58"/>
      <w:r>
        <w:rPr>
          <w:rFonts w:ascii="Times New Roman" w:hAnsi="Times New Roman" w:cs="Times New Roman"/>
          <w:b/>
          <w:color w:val="000000"/>
          <w:sz w:val="20"/>
        </w:rPr>
        <w:t>*28</w:t>
      </w:r>
      <w:r>
        <w:rPr>
          <w:rFonts w:ascii="Times New Roman" w:hAnsi="Times New Roman" w:cs="Times New Roman"/>
          <w:color w:val="000000"/>
          <w:sz w:val="20"/>
        </w:rPr>
        <w:t xml:space="preserve"> Johnson</w:t>
      </w:r>
      <w:r>
        <w:rPr>
          <w:rFonts w:ascii="Times New Roman" w:hAnsi="Times New Roman" w:cs="Times New Roman"/>
          <w:color w:val="000000"/>
          <w:sz w:val="20"/>
        </w:rPr>
        <w:t>’</w:t>
      </w:r>
      <w:r>
        <w:rPr>
          <w:rFonts w:ascii="Times New Roman" w:hAnsi="Times New Roman" w:cs="Times New Roman"/>
          <w:color w:val="000000"/>
          <w:sz w:val="20"/>
        </w:rPr>
        <w:t>s attorney argued to the jury that Johnson was entitled to $1 million per year of his pain and suffering. Although there was conflicting evidence about h</w:t>
      </w:r>
      <w:r>
        <w:rPr>
          <w:rFonts w:ascii="Times New Roman" w:hAnsi="Times New Roman" w:cs="Times New Roman"/>
          <w:color w:val="000000"/>
          <w:sz w:val="20"/>
        </w:rPr>
        <w:t xml:space="preserve">ow long Johnson would survive, counsel argued that he would not live another two years </w:t>
      </w:r>
      <w:r>
        <w:rPr>
          <w:rFonts w:ascii="Times New Roman" w:hAnsi="Times New Roman" w:cs="Times New Roman"/>
          <w:color w:val="000000"/>
          <w:sz w:val="20"/>
        </w:rPr>
        <w:t>“</w:t>
      </w:r>
      <w:r>
        <w:rPr>
          <w:rFonts w:ascii="Times New Roman" w:hAnsi="Times New Roman" w:cs="Times New Roman"/>
          <w:color w:val="000000"/>
          <w:sz w:val="20"/>
        </w:rPr>
        <w:t>absent a miracle.</w:t>
      </w:r>
      <w:r>
        <w:rPr>
          <w:rFonts w:ascii="Times New Roman" w:hAnsi="Times New Roman" w:cs="Times New Roman"/>
          <w:color w:val="000000"/>
          <w:sz w:val="20"/>
        </w:rPr>
        <w:t>”</w:t>
      </w:r>
      <w:r>
        <w:rPr>
          <w:rFonts w:ascii="Times New Roman" w:hAnsi="Times New Roman" w:cs="Times New Roman"/>
          <w:color w:val="000000"/>
          <w:sz w:val="20"/>
        </w:rPr>
        <w:t xml:space="preserve"> It follows that Johnson was entitled to future noneconomic damages measured by a life expectancy that was reasonable and realistic, not a life expect</w:t>
      </w:r>
      <w:r>
        <w:rPr>
          <w:rFonts w:ascii="Times New Roman" w:hAnsi="Times New Roman" w:cs="Times New Roman"/>
          <w:color w:val="000000"/>
          <w:sz w:val="20"/>
        </w:rPr>
        <w:t>ancy based on the hope that he might miraculously live for dozens of more years.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Johnson argues on appeal that under California law he was entitled to damages for a </w:t>
      </w:r>
      <w:r>
        <w:rPr>
          <w:rFonts w:ascii="Times New Roman" w:hAnsi="Times New Roman" w:cs="Times New Roman"/>
          <w:color w:val="000000"/>
          <w:sz w:val="20"/>
        </w:rPr>
        <w:t>“</w:t>
      </w:r>
      <w:r>
        <w:rPr>
          <w:rFonts w:ascii="Times New Roman" w:hAnsi="Times New Roman" w:cs="Times New Roman"/>
          <w:color w:val="000000"/>
          <w:sz w:val="20"/>
        </w:rPr>
        <w:t>shortened life expectancy.</w:t>
      </w:r>
      <w:r>
        <w:rPr>
          <w:rFonts w:ascii="Times New Roman" w:hAnsi="Times New Roman" w:cs="Times New Roman"/>
          <w:color w:val="000000"/>
          <w:sz w:val="20"/>
        </w:rPr>
        <w:t>”</w:t>
      </w:r>
      <w:r>
        <w:rPr>
          <w:rFonts w:ascii="Times New Roman" w:hAnsi="Times New Roman" w:cs="Times New Roman"/>
          <w:color w:val="000000"/>
          <w:sz w:val="20"/>
        </w:rPr>
        <w:t xml:space="preserve"> But the jury instructions did not authorize such damages, wh</w:t>
      </w:r>
      <w:r>
        <w:rPr>
          <w:rFonts w:ascii="Times New Roman" w:hAnsi="Times New Roman" w:cs="Times New Roman"/>
          <w:color w:val="000000"/>
          <w:sz w:val="20"/>
        </w:rPr>
        <w:t xml:space="preserve">ich have not been recognized as recoverable in California. Johnson relies on, </w:t>
      </w:r>
      <w:r>
        <w:rPr>
          <w:rFonts w:ascii="Times New Roman" w:hAnsi="Times New Roman" w:cs="Times New Roman"/>
          <w:i/>
          <w:color w:val="0000FF"/>
          <w:sz w:val="20"/>
        </w:rPr>
        <w:t>Buell-Wilson v. Ford Motor Co.</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141 Cal.App.4th 525</w:t>
      </w:r>
      <w:r>
        <w:rPr>
          <w:rFonts w:ascii="Times New Roman" w:hAnsi="Times New Roman" w:cs="Times New Roman"/>
          <w:color w:val="000000"/>
          <w:sz w:val="20"/>
        </w:rPr>
        <w:t>. There, a jury awarded the plaintiff about $105 million in noneconomic damages to a catastrophically injured plaintiff,</w:t>
      </w:r>
      <w:r>
        <w:rPr>
          <w:rFonts w:ascii="Times New Roman" w:hAnsi="Times New Roman" w:cs="Times New Roman"/>
          <w:color w:val="000000"/>
          <w:sz w:val="20"/>
        </w:rPr>
        <w:t xml:space="preserve"> or 13 times what her attorney had argued to jurors was fair and reasonable. (</w:t>
      </w:r>
      <w:r>
        <w:rPr>
          <w:rFonts w:ascii="Times New Roman" w:hAnsi="Times New Roman" w:cs="Times New Roman"/>
          <w:i/>
          <w:color w:val="0000FF"/>
          <w:sz w:val="20"/>
        </w:rPr>
        <w:t>Id.</w:t>
      </w:r>
      <w:r>
        <w:rPr>
          <w:rFonts w:ascii="Times New Roman" w:hAnsi="Times New Roman" w:cs="Times New Roman"/>
          <w:color w:val="0000FF"/>
          <w:sz w:val="20"/>
        </w:rPr>
        <w:t xml:space="preserve"> at pp. 548, 553</w:t>
      </w:r>
      <w:r>
        <w:rPr>
          <w:rFonts w:ascii="Times New Roman" w:hAnsi="Times New Roman" w:cs="Times New Roman"/>
          <w:color w:val="000000"/>
          <w:sz w:val="20"/>
        </w:rPr>
        <w:t>.) The trial court reduced that award to $65 million, but the appellate court concluded that even the reduced amount was excessive and the result of passion an</w:t>
      </w:r>
      <w:r>
        <w:rPr>
          <w:rFonts w:ascii="Times New Roman" w:hAnsi="Times New Roman" w:cs="Times New Roman"/>
          <w:color w:val="000000"/>
          <w:sz w:val="20"/>
        </w:rPr>
        <w:t>d prejudice. (</w:t>
      </w:r>
      <w:r>
        <w:rPr>
          <w:rFonts w:ascii="Times New Roman" w:hAnsi="Times New Roman" w:cs="Times New Roman"/>
          <w:i/>
          <w:color w:val="0000FF"/>
          <w:sz w:val="20"/>
        </w:rPr>
        <w:t>Id.</w:t>
      </w:r>
      <w:r>
        <w:rPr>
          <w:rFonts w:ascii="Times New Roman" w:hAnsi="Times New Roman" w:cs="Times New Roman"/>
          <w:color w:val="0000FF"/>
          <w:sz w:val="20"/>
        </w:rPr>
        <w:t xml:space="preserve"> at pp. 548</w:t>
      </w:r>
      <w:r>
        <w:rPr>
          <w:rFonts w:ascii="Times New Roman" w:hAnsi="Times New Roman" w:cs="Times New Roman"/>
          <w:color w:val="0000FF"/>
          <w:sz w:val="20"/>
        </w:rPr>
        <w:t>–</w:t>
      </w:r>
      <w:r>
        <w:rPr>
          <w:rFonts w:ascii="Times New Roman" w:hAnsi="Times New Roman" w:cs="Times New Roman"/>
          <w:color w:val="0000FF"/>
          <w:sz w:val="20"/>
        </w:rPr>
        <w:t>549</w:t>
      </w:r>
      <w:r>
        <w:rPr>
          <w:rFonts w:ascii="Times New Roman" w:hAnsi="Times New Roman" w:cs="Times New Roman"/>
          <w:color w:val="000000"/>
          <w:sz w:val="20"/>
        </w:rPr>
        <w:t xml:space="preserve">.) At one point the court cited to a previous version of </w:t>
      </w:r>
      <w:r>
        <w:rPr>
          <w:rFonts w:ascii="Times New Roman" w:hAnsi="Times New Roman" w:cs="Times New Roman"/>
          <w:color w:val="0000FF"/>
          <w:sz w:val="20"/>
        </w:rPr>
        <w:t>CACI No. 3905A</w:t>
      </w:r>
      <w:r>
        <w:rPr>
          <w:rFonts w:ascii="Times New Roman" w:hAnsi="Times New Roman" w:cs="Times New Roman"/>
          <w:color w:val="000000"/>
          <w:sz w:val="20"/>
        </w:rPr>
        <w:t xml:space="preserve"> that apparently defined noneconomic damages as including </w:t>
      </w:r>
      <w:r>
        <w:rPr>
          <w:rFonts w:ascii="Times New Roman" w:hAnsi="Times New Roman" w:cs="Times New Roman"/>
          <w:color w:val="000000"/>
          <w:sz w:val="20"/>
        </w:rPr>
        <w:t>“</w:t>
      </w:r>
      <w:r>
        <w:rPr>
          <w:rFonts w:ascii="Times New Roman" w:hAnsi="Times New Roman" w:cs="Times New Roman"/>
          <w:color w:val="000000"/>
          <w:sz w:val="20"/>
        </w:rPr>
        <w:t>a shortened life expectancy</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00"/>
          <w:sz w:val="20"/>
        </w:rPr>
        <w:t>Buell-Wilson</w:t>
      </w:r>
      <w:r>
        <w:rPr>
          <w:rFonts w:ascii="Times New Roman" w:hAnsi="Times New Roman" w:cs="Times New Roman"/>
          <w:color w:val="000000"/>
          <w:sz w:val="20"/>
        </w:rPr>
        <w:t>, at p. 549), language that does not appear in the c</w:t>
      </w:r>
      <w:r>
        <w:rPr>
          <w:rFonts w:ascii="Times New Roman" w:hAnsi="Times New Roman" w:cs="Times New Roman"/>
          <w:color w:val="000000"/>
          <w:sz w:val="20"/>
        </w:rPr>
        <w:t>urrent version of the instruction. But when the court analyzed why the award of noneconomic damages should be reduced, it looked to the amount of the award versus the plaintiff</w:t>
      </w:r>
      <w:r>
        <w:rPr>
          <w:rFonts w:ascii="Times New Roman" w:hAnsi="Times New Roman" w:cs="Times New Roman"/>
          <w:color w:val="000000"/>
          <w:sz w:val="20"/>
        </w:rPr>
        <w:t>’</w:t>
      </w:r>
      <w:r>
        <w:rPr>
          <w:rFonts w:ascii="Times New Roman" w:hAnsi="Times New Roman" w:cs="Times New Roman"/>
          <w:color w:val="000000"/>
          <w:sz w:val="20"/>
        </w:rPr>
        <w:t xml:space="preserve">s projected </w:t>
      </w:r>
      <w:r>
        <w:rPr>
          <w:rFonts w:ascii="Times New Roman" w:hAnsi="Times New Roman" w:cs="Times New Roman"/>
          <w:color w:val="000000"/>
          <w:sz w:val="20"/>
        </w:rPr>
        <w:lastRenderedPageBreak/>
        <w:t xml:space="preserve">life span, and how much she would be entitled to </w:t>
      </w:r>
      <w:r>
        <w:rPr>
          <w:rFonts w:ascii="Times New Roman" w:hAnsi="Times New Roman" w:cs="Times New Roman"/>
          <w:i/>
          <w:color w:val="000000"/>
          <w:sz w:val="20"/>
        </w:rPr>
        <w:t>each year of her r</w:t>
      </w:r>
      <w:r>
        <w:rPr>
          <w:rFonts w:ascii="Times New Roman" w:hAnsi="Times New Roman" w:cs="Times New Roman"/>
          <w:i/>
          <w:color w:val="000000"/>
          <w:sz w:val="20"/>
        </w:rPr>
        <w:t>emaining life</w:t>
      </w:r>
      <w:r>
        <w:rPr>
          <w:rFonts w:ascii="Times New Roman" w:hAnsi="Times New Roman" w:cs="Times New Roman"/>
          <w:color w:val="000000"/>
          <w:sz w:val="20"/>
        </w:rPr>
        <w:t>. (</w:t>
      </w:r>
      <w:r>
        <w:rPr>
          <w:rFonts w:ascii="Times New Roman" w:hAnsi="Times New Roman" w:cs="Times New Roman"/>
          <w:i/>
          <w:color w:val="0000FF"/>
          <w:sz w:val="20"/>
        </w:rPr>
        <w:t>Id.</w:t>
      </w:r>
      <w:r>
        <w:rPr>
          <w:rFonts w:ascii="Times New Roman" w:hAnsi="Times New Roman" w:cs="Times New Roman"/>
          <w:color w:val="0000FF"/>
          <w:sz w:val="20"/>
        </w:rPr>
        <w:t xml:space="preserve"> at p. 550</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i/>
          <w:color w:val="0000FF"/>
          <w:sz w:val="20"/>
        </w:rPr>
        <w:t>Bigler-Engler v. Breg, Inc.</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7 Cal.App.5th 276</w:t>
      </w:r>
      <w:r>
        <w:rPr>
          <w:rFonts w:ascii="Times New Roman" w:hAnsi="Times New Roman" w:cs="Times New Roman"/>
          <w:color w:val="000000"/>
          <w:sz w:val="20"/>
        </w:rPr>
        <w:t xml:space="preserve">, likewise does not help Johnson. There, a high school student suffered a painful knee </w:t>
      </w:r>
      <w:r>
        <w:rPr>
          <w:rFonts w:ascii="Times New Roman" w:hAnsi="Times New Roman" w:cs="Times New Roman"/>
          <w:color w:val="0000FF"/>
          <w:sz w:val="20"/>
        </w:rPr>
        <w:t>wound</w:t>
      </w:r>
      <w:r>
        <w:rPr>
          <w:rFonts w:ascii="Times New Roman" w:hAnsi="Times New Roman" w:cs="Times New Roman"/>
          <w:color w:val="000000"/>
          <w:sz w:val="20"/>
        </w:rPr>
        <w:t>, had to undergo nine procedures to clean and close it, and was left with a l</w:t>
      </w:r>
      <w:r>
        <w:rPr>
          <w:rFonts w:ascii="Times New Roman" w:hAnsi="Times New Roman" w:cs="Times New Roman"/>
          <w:color w:val="000000"/>
          <w:sz w:val="20"/>
        </w:rPr>
        <w:t xml:space="preserve">arge scar after using a medical device that her doctor prescribed for use after </w:t>
      </w:r>
      <w:r>
        <w:rPr>
          <w:rFonts w:ascii="Times New Roman" w:hAnsi="Times New Roman" w:cs="Times New Roman"/>
          <w:color w:val="0000FF"/>
          <w:sz w:val="20"/>
        </w:rPr>
        <w:t>arthroscopic surgery</w:t>
      </w:r>
      <w:r>
        <w:rPr>
          <w:rFonts w:ascii="Times New Roman" w:hAnsi="Times New Roman" w:cs="Times New Roman"/>
          <w:color w:val="000000"/>
          <w:sz w:val="20"/>
        </w:rPr>
        <w:t>. (</w:t>
      </w:r>
      <w:r>
        <w:rPr>
          <w:rFonts w:ascii="Times New Roman" w:hAnsi="Times New Roman" w:cs="Times New Roman"/>
          <w:i/>
          <w:color w:val="0000FF"/>
          <w:sz w:val="20"/>
        </w:rPr>
        <w:t>Id.</w:t>
      </w:r>
      <w:r>
        <w:rPr>
          <w:rFonts w:ascii="Times New Roman" w:hAnsi="Times New Roman" w:cs="Times New Roman"/>
          <w:color w:val="0000FF"/>
          <w:sz w:val="20"/>
        </w:rPr>
        <w:t xml:space="preserve"> at pp. 286</w:t>
      </w:r>
      <w:r>
        <w:rPr>
          <w:rFonts w:ascii="Times New Roman" w:hAnsi="Times New Roman" w:cs="Times New Roman"/>
          <w:color w:val="0000FF"/>
          <w:sz w:val="20"/>
        </w:rPr>
        <w:t>–</w:t>
      </w:r>
      <w:r>
        <w:rPr>
          <w:rFonts w:ascii="Times New Roman" w:hAnsi="Times New Roman" w:cs="Times New Roman"/>
          <w:color w:val="0000FF"/>
          <w:sz w:val="20"/>
        </w:rPr>
        <w:t>289</w:t>
      </w:r>
      <w:r>
        <w:rPr>
          <w:rFonts w:ascii="Times New Roman" w:hAnsi="Times New Roman" w:cs="Times New Roman"/>
          <w:color w:val="000000"/>
          <w:sz w:val="20"/>
        </w:rPr>
        <w:t>.) A jury awarded her $2,127,950 in noneconomic damages, which the appellate court concluded was excessive. (</w:t>
      </w:r>
      <w:r>
        <w:rPr>
          <w:rFonts w:ascii="Times New Roman" w:hAnsi="Times New Roman" w:cs="Times New Roman"/>
          <w:i/>
          <w:color w:val="0000FF"/>
          <w:sz w:val="20"/>
        </w:rPr>
        <w:t>Id.</w:t>
      </w:r>
      <w:r>
        <w:rPr>
          <w:rFonts w:ascii="Times New Roman" w:hAnsi="Times New Roman" w:cs="Times New Roman"/>
          <w:color w:val="0000FF"/>
          <w:sz w:val="20"/>
        </w:rPr>
        <w:t xml:space="preserve"> at pp. 300</w:t>
      </w:r>
      <w:r>
        <w:rPr>
          <w:rFonts w:ascii="Times New Roman" w:hAnsi="Times New Roman" w:cs="Times New Roman"/>
          <w:color w:val="0000FF"/>
          <w:sz w:val="20"/>
        </w:rPr>
        <w:t>–</w:t>
      </w:r>
      <w:r>
        <w:rPr>
          <w:rFonts w:ascii="Times New Roman" w:hAnsi="Times New Roman" w:cs="Times New Roman"/>
          <w:color w:val="0000FF"/>
          <w:sz w:val="20"/>
        </w:rPr>
        <w:t>301</w:t>
      </w:r>
      <w:r>
        <w:rPr>
          <w:rFonts w:ascii="Times New Roman" w:hAnsi="Times New Roman" w:cs="Times New Roman"/>
          <w:color w:val="000000"/>
          <w:sz w:val="20"/>
        </w:rPr>
        <w:t>.) The c</w:t>
      </w:r>
      <w:r>
        <w:rPr>
          <w:rFonts w:ascii="Times New Roman" w:hAnsi="Times New Roman" w:cs="Times New Roman"/>
          <w:color w:val="000000"/>
          <w:sz w:val="20"/>
        </w:rPr>
        <w:t>ourt acknowledged that the plaintiff had suffered a serious injury that involved substantial physical pain as well as emotional distress, anxiety, and embarrassment. (</w:t>
      </w:r>
      <w:r>
        <w:rPr>
          <w:rFonts w:ascii="Times New Roman" w:hAnsi="Times New Roman" w:cs="Times New Roman"/>
          <w:i/>
          <w:color w:val="0000FF"/>
          <w:sz w:val="20"/>
        </w:rPr>
        <w:t>Id.</w:t>
      </w:r>
      <w:r>
        <w:rPr>
          <w:rFonts w:ascii="Times New Roman" w:hAnsi="Times New Roman" w:cs="Times New Roman"/>
          <w:color w:val="0000FF"/>
          <w:sz w:val="20"/>
        </w:rPr>
        <w:t xml:space="preserve"> at p. 302</w:t>
      </w:r>
      <w:r>
        <w:rPr>
          <w:rFonts w:ascii="Times New Roman" w:hAnsi="Times New Roman" w:cs="Times New Roman"/>
          <w:color w:val="000000"/>
          <w:sz w:val="20"/>
        </w:rPr>
        <w:t>.) By the time of trial, though, the plaintiff had improved dramatically, he</w:t>
      </w:r>
      <w:r>
        <w:rPr>
          <w:rFonts w:ascii="Times New Roman" w:hAnsi="Times New Roman" w:cs="Times New Roman"/>
          <w:color w:val="000000"/>
          <w:sz w:val="20"/>
        </w:rPr>
        <w:t>r daily activities had mostly returned to normal, and her scar was small and less noticeable than before. (</w:t>
      </w:r>
      <w:r>
        <w:rPr>
          <w:rFonts w:ascii="Times New Roman" w:hAnsi="Times New Roman" w:cs="Times New Roman"/>
          <w:i/>
          <w:color w:val="000000"/>
          <w:sz w:val="20"/>
        </w:rPr>
        <w:t>Ibid.</w:t>
      </w:r>
      <w:r>
        <w:rPr>
          <w:rFonts w:ascii="Times New Roman" w:hAnsi="Times New Roman" w:cs="Times New Roman"/>
          <w:color w:val="000000"/>
          <w:sz w:val="20"/>
        </w:rPr>
        <w:t xml:space="preserve">) When weighing these factors, the court noted that </w:t>
      </w:r>
      <w:r>
        <w:rPr>
          <w:rFonts w:ascii="Times New Roman" w:hAnsi="Times New Roman" w:cs="Times New Roman"/>
          <w:color w:val="000000"/>
          <w:sz w:val="20"/>
        </w:rPr>
        <w:t>“</w:t>
      </w:r>
      <w:r>
        <w:rPr>
          <w:rFonts w:ascii="Times New Roman" w:hAnsi="Times New Roman" w:cs="Times New Roman"/>
          <w:color w:val="000000"/>
          <w:sz w:val="20"/>
        </w:rPr>
        <w:t xml:space="preserve">[t]here was no suggestion of the prospect of suffering a significant future disability, </w:t>
      </w:r>
      <w:r>
        <w:rPr>
          <w:rFonts w:ascii="Times New Roman" w:hAnsi="Times New Roman" w:cs="Times New Roman"/>
          <w:i/>
          <w:color w:val="000000"/>
          <w:sz w:val="20"/>
        </w:rPr>
        <w:t>shortened life expectancy</w:t>
      </w:r>
      <w:r>
        <w:rPr>
          <w:rFonts w:ascii="Times New Roman" w:hAnsi="Times New Roman" w:cs="Times New Roman"/>
          <w:color w:val="000000"/>
          <w:sz w:val="20"/>
        </w:rPr>
        <w:t>, inability to succeed professionally, or a distrust of doctors or other fiduciary advisors.</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00"/>
          <w:sz w:val="20"/>
        </w:rPr>
        <w:t>Ibid.</w:t>
      </w:r>
      <w:r>
        <w:rPr>
          <w:rFonts w:ascii="Times New Roman" w:hAnsi="Times New Roman" w:cs="Times New Roman"/>
          <w:color w:val="000000"/>
          <w:sz w:val="20"/>
        </w:rPr>
        <w:t>, italics added.) Johnson points to the court</w:t>
      </w:r>
      <w:r>
        <w:rPr>
          <w:rFonts w:ascii="Times New Roman" w:hAnsi="Times New Roman" w:cs="Times New Roman"/>
          <w:color w:val="000000"/>
          <w:sz w:val="20"/>
        </w:rPr>
        <w:t>’</w:t>
      </w:r>
      <w:r>
        <w:rPr>
          <w:rFonts w:ascii="Times New Roman" w:hAnsi="Times New Roman" w:cs="Times New Roman"/>
          <w:color w:val="000000"/>
          <w:sz w:val="20"/>
        </w:rPr>
        <w:t>s reference to an absence of a shortened life expectancy and reasons that if the abse</w:t>
      </w:r>
      <w:r>
        <w:rPr>
          <w:rFonts w:ascii="Times New Roman" w:hAnsi="Times New Roman" w:cs="Times New Roman"/>
          <w:color w:val="000000"/>
          <w:sz w:val="20"/>
        </w:rPr>
        <w:t>nce of a shortened life expectancy warranted a reduction of the plaintiff</w:t>
      </w:r>
      <w:r>
        <w:rPr>
          <w:rFonts w:ascii="Times New Roman" w:hAnsi="Times New Roman" w:cs="Times New Roman"/>
          <w:color w:val="000000"/>
          <w:sz w:val="20"/>
        </w:rPr>
        <w:t>’</w:t>
      </w:r>
      <w:r>
        <w:rPr>
          <w:rFonts w:ascii="Times New Roman" w:hAnsi="Times New Roman" w:cs="Times New Roman"/>
          <w:color w:val="000000"/>
          <w:sz w:val="20"/>
        </w:rPr>
        <w:t xml:space="preserve">s damages in that case, then the presence of a shortened life expectancy here justifies a higher award. But the lack of a shortened life expectancy was simply one of several factors </w:t>
      </w:r>
      <w:r>
        <w:rPr>
          <w:rFonts w:ascii="Times New Roman" w:hAnsi="Times New Roman" w:cs="Times New Roman"/>
          <w:i/>
          <w:color w:val="000000"/>
          <w:sz w:val="20"/>
        </w:rPr>
        <w:t>Bigler-Engler</w:t>
      </w:r>
      <w:r>
        <w:rPr>
          <w:rFonts w:ascii="Times New Roman" w:hAnsi="Times New Roman" w:cs="Times New Roman"/>
          <w:color w:val="000000"/>
          <w:sz w:val="20"/>
        </w:rPr>
        <w:t xml:space="preserve"> considered, including the fact that an award for future noneconomic damages amounting to about $100 per day for the 58 years of the plaintiff</w:t>
      </w:r>
      <w:r>
        <w:rPr>
          <w:rFonts w:ascii="Times New Roman" w:hAnsi="Times New Roman" w:cs="Times New Roman"/>
          <w:color w:val="000000"/>
          <w:sz w:val="20"/>
        </w:rPr>
        <w:t>’</w:t>
      </w:r>
      <w:r>
        <w:rPr>
          <w:rFonts w:ascii="Times New Roman" w:hAnsi="Times New Roman" w:cs="Times New Roman"/>
          <w:color w:val="000000"/>
          <w:sz w:val="20"/>
        </w:rPr>
        <w:t>s life expectancy was disproportionate to her expected future suffering. (</w:t>
      </w:r>
      <w:r>
        <w:rPr>
          <w:rFonts w:ascii="Times New Roman" w:hAnsi="Times New Roman" w:cs="Times New Roman"/>
          <w:i/>
          <w:color w:val="000000"/>
          <w:sz w:val="20"/>
        </w:rPr>
        <w:t>Ibid.</w:t>
      </w:r>
      <w:r>
        <w:rPr>
          <w:rFonts w:ascii="Times New Roman" w:hAnsi="Times New Roman" w:cs="Times New Roman"/>
          <w:color w:val="000000"/>
          <w:sz w:val="20"/>
        </w:rPr>
        <w:t>) In other words, the</w:t>
      </w:r>
      <w:r>
        <w:rPr>
          <w:rFonts w:ascii="Times New Roman" w:hAnsi="Times New Roman" w:cs="Times New Roman"/>
          <w:color w:val="000000"/>
          <w:sz w:val="20"/>
        </w:rPr>
        <w:t xml:space="preserve"> court looked to what the plaintiff would actually suffer </w:t>
      </w:r>
      <w:r>
        <w:rPr>
          <w:rFonts w:ascii="Times New Roman" w:hAnsi="Times New Roman" w:cs="Times New Roman"/>
          <w:i/>
          <w:color w:val="000000"/>
          <w:sz w:val="20"/>
        </w:rPr>
        <w:t>over the course of her remaining life</w:t>
      </w:r>
      <w:r>
        <w:rPr>
          <w:rFonts w:ascii="Times New Roman" w:hAnsi="Times New Roman" w:cs="Times New Roman"/>
          <w:color w:val="000000"/>
          <w:sz w:val="20"/>
        </w:rPr>
        <w:t xml:space="preserve"> when it reduced the award to $650,000. (</w:t>
      </w:r>
      <w:r>
        <w:rPr>
          <w:rFonts w:ascii="Times New Roman" w:hAnsi="Times New Roman" w:cs="Times New Roman"/>
          <w:i/>
          <w:color w:val="0000FF"/>
          <w:sz w:val="20"/>
        </w:rPr>
        <w:t>Id.</w:t>
      </w:r>
      <w:r>
        <w:rPr>
          <w:rFonts w:ascii="Times New Roman" w:hAnsi="Times New Roman" w:cs="Times New Roman"/>
          <w:color w:val="0000FF"/>
          <w:sz w:val="20"/>
        </w:rPr>
        <w:t xml:space="preserve"> at p. 306</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59" w:name="co_pp_sp_999_29_1"/>
      <w:bookmarkEnd w:id="59"/>
      <w:r>
        <w:rPr>
          <w:rFonts w:ascii="Times New Roman" w:hAnsi="Times New Roman" w:cs="Times New Roman"/>
          <w:b/>
          <w:color w:val="000000"/>
          <w:sz w:val="20"/>
        </w:rPr>
        <w:t>*29</w:t>
      </w:r>
      <w:r>
        <w:rPr>
          <w:rFonts w:ascii="Times New Roman" w:hAnsi="Times New Roman" w:cs="Times New Roman"/>
          <w:color w:val="000000"/>
          <w:sz w:val="20"/>
        </w:rPr>
        <w:t xml:space="preserve"> Other cases upon which Johnson relies include the term </w:t>
      </w:r>
      <w:r>
        <w:rPr>
          <w:rFonts w:ascii="Times New Roman" w:hAnsi="Times New Roman" w:cs="Times New Roman"/>
          <w:color w:val="000000"/>
          <w:sz w:val="20"/>
        </w:rPr>
        <w:t>“</w:t>
      </w:r>
      <w:r>
        <w:rPr>
          <w:rFonts w:ascii="Times New Roman" w:hAnsi="Times New Roman" w:cs="Times New Roman"/>
          <w:color w:val="000000"/>
          <w:sz w:val="20"/>
        </w:rPr>
        <w:t>shortene</w:t>
      </w:r>
      <w:r>
        <w:rPr>
          <w:rFonts w:ascii="Times New Roman" w:hAnsi="Times New Roman" w:cs="Times New Roman"/>
          <w:color w:val="000000"/>
          <w:sz w:val="20"/>
        </w:rPr>
        <w:t>d life expectancy</w:t>
      </w:r>
      <w:r>
        <w:rPr>
          <w:rFonts w:ascii="Times New Roman" w:hAnsi="Times New Roman" w:cs="Times New Roman"/>
          <w:color w:val="000000"/>
          <w:sz w:val="20"/>
        </w:rPr>
        <w:t>”</w:t>
      </w:r>
      <w:r>
        <w:rPr>
          <w:rFonts w:ascii="Times New Roman" w:hAnsi="Times New Roman" w:cs="Times New Roman"/>
          <w:color w:val="000000"/>
          <w:sz w:val="20"/>
        </w:rPr>
        <w:t xml:space="preserve"> or similar phrases, but do not stand for the proposition that a plaintiff is entitled under California law to recover for noneconomic damages beyond a life expectancy measured in relation to the plaintiff</w:t>
      </w:r>
      <w:r>
        <w:rPr>
          <w:rFonts w:ascii="Times New Roman" w:hAnsi="Times New Roman" w:cs="Times New Roman"/>
          <w:color w:val="000000"/>
          <w:sz w:val="20"/>
        </w:rPr>
        <w:t>’</w:t>
      </w:r>
      <w:r>
        <w:rPr>
          <w:rFonts w:ascii="Times New Roman" w:hAnsi="Times New Roman" w:cs="Times New Roman"/>
          <w:color w:val="000000"/>
          <w:sz w:val="20"/>
        </w:rPr>
        <w:t>s injured condition. (</w:t>
      </w:r>
      <w:r>
        <w:rPr>
          <w:rFonts w:ascii="Times New Roman" w:hAnsi="Times New Roman" w:cs="Times New Roman"/>
          <w:i/>
          <w:color w:val="0000FF"/>
          <w:sz w:val="20"/>
        </w:rPr>
        <w:t>Loth v. Tr</w:t>
      </w:r>
      <w:r>
        <w:rPr>
          <w:rFonts w:ascii="Times New Roman" w:hAnsi="Times New Roman" w:cs="Times New Roman"/>
          <w:i/>
          <w:color w:val="0000FF"/>
          <w:sz w:val="20"/>
        </w:rPr>
        <w:t>uck-A-Way</w:t>
      </w:r>
      <w:r>
        <w:rPr>
          <w:rFonts w:ascii="Times New Roman" w:hAnsi="Times New Roman" w:cs="Times New Roman"/>
          <w:color w:val="0000FF"/>
          <w:sz w:val="20"/>
        </w:rPr>
        <w:t xml:space="preserve"> (1998) 60 Cal.App.4th 757, 763</w:t>
      </w:r>
      <w:r>
        <w:rPr>
          <w:rFonts w:ascii="Times New Roman" w:hAnsi="Times New Roman" w:cs="Times New Roman"/>
          <w:color w:val="0000FF"/>
          <w:sz w:val="20"/>
        </w:rPr>
        <w:t>–</w:t>
      </w:r>
      <w:r>
        <w:rPr>
          <w:rFonts w:ascii="Times New Roman" w:hAnsi="Times New Roman" w:cs="Times New Roman"/>
          <w:color w:val="0000FF"/>
          <w:sz w:val="20"/>
        </w:rPr>
        <w:t>764</w:t>
      </w:r>
      <w:r>
        <w:rPr>
          <w:rFonts w:ascii="Times New Roman" w:hAnsi="Times New Roman" w:cs="Times New Roman"/>
          <w:color w:val="000000"/>
          <w:sz w:val="20"/>
        </w:rPr>
        <w:t xml:space="preserve"> [availability of damages for </w:t>
      </w:r>
      <w:r>
        <w:rPr>
          <w:rFonts w:ascii="Times New Roman" w:hAnsi="Times New Roman" w:cs="Times New Roman"/>
          <w:color w:val="000000"/>
          <w:sz w:val="20"/>
        </w:rPr>
        <w:t>“</w:t>
      </w:r>
      <w:r>
        <w:rPr>
          <w:rFonts w:ascii="Times New Roman" w:hAnsi="Times New Roman" w:cs="Times New Roman"/>
          <w:color w:val="000000"/>
          <w:sz w:val="20"/>
        </w:rPr>
        <w:t>loss of enjoyment of life</w:t>
      </w:r>
      <w:r>
        <w:rPr>
          <w:rFonts w:ascii="Times New Roman" w:hAnsi="Times New Roman" w:cs="Times New Roman"/>
          <w:color w:val="000000"/>
          <w:sz w:val="20"/>
        </w:rPr>
        <w:t>”</w:t>
      </w:r>
      <w:r>
        <w:rPr>
          <w:rFonts w:ascii="Times New Roman" w:hAnsi="Times New Roman" w:cs="Times New Roman"/>
          <w:color w:val="000000"/>
          <w:sz w:val="20"/>
        </w:rPr>
        <w:t xml:space="preserve"> under California law analogous to recovery for pain and suffering]; </w:t>
      </w:r>
      <w:r>
        <w:rPr>
          <w:rFonts w:ascii="Times New Roman" w:hAnsi="Times New Roman" w:cs="Times New Roman"/>
          <w:i/>
          <w:color w:val="0000FF"/>
          <w:sz w:val="20"/>
        </w:rPr>
        <w:t>James v. United States</w:t>
      </w:r>
      <w:r>
        <w:rPr>
          <w:rFonts w:ascii="Times New Roman" w:hAnsi="Times New Roman" w:cs="Times New Roman"/>
          <w:color w:val="0000FF"/>
          <w:sz w:val="20"/>
        </w:rPr>
        <w:t xml:space="preserve"> (N.D.Cal. 1980) 483 F.Supp. 581, 586</w:t>
      </w:r>
      <w:r>
        <w:rPr>
          <w:rFonts w:ascii="Times New Roman" w:hAnsi="Times New Roman" w:cs="Times New Roman"/>
          <w:color w:val="000000"/>
          <w:sz w:val="20"/>
        </w:rPr>
        <w:t xml:space="preserve"> [plaintiff able to establi</w:t>
      </w:r>
      <w:r>
        <w:rPr>
          <w:rFonts w:ascii="Times New Roman" w:hAnsi="Times New Roman" w:cs="Times New Roman"/>
          <w:color w:val="000000"/>
          <w:sz w:val="20"/>
        </w:rPr>
        <w:t xml:space="preserve">sh proximate cause where evidence showed that delayed </w:t>
      </w:r>
      <w:r>
        <w:rPr>
          <w:rFonts w:ascii="Times New Roman" w:hAnsi="Times New Roman" w:cs="Times New Roman"/>
          <w:color w:val="0000FF"/>
          <w:sz w:val="20"/>
        </w:rPr>
        <w:t>cancer diagnosis</w:t>
      </w:r>
      <w:r>
        <w:rPr>
          <w:rFonts w:ascii="Times New Roman" w:hAnsi="Times New Roman" w:cs="Times New Roman"/>
          <w:color w:val="000000"/>
          <w:sz w:val="20"/>
        </w:rPr>
        <w:t xml:space="preserve"> led to shortened life expectancy].)</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Johnson</w:t>
      </w:r>
      <w:r>
        <w:rPr>
          <w:rFonts w:ascii="Times New Roman" w:hAnsi="Times New Roman" w:cs="Times New Roman"/>
          <w:color w:val="000000"/>
          <w:sz w:val="20"/>
        </w:rPr>
        <w:t>’</w:t>
      </w:r>
      <w:r>
        <w:rPr>
          <w:rFonts w:ascii="Times New Roman" w:hAnsi="Times New Roman" w:cs="Times New Roman"/>
          <w:color w:val="000000"/>
          <w:sz w:val="20"/>
        </w:rPr>
        <w:t xml:space="preserve">s reliance on out-of-state cases to argue that damages are allowed for loss of enjoyment of life beyond </w:t>
      </w:r>
      <w:r>
        <w:rPr>
          <w:rFonts w:ascii="Times New Roman" w:hAnsi="Times New Roman" w:cs="Times New Roman"/>
          <w:color w:val="000000"/>
          <w:sz w:val="20"/>
        </w:rPr>
        <w:t>a plaintiff</w:t>
      </w:r>
      <w:r>
        <w:rPr>
          <w:rFonts w:ascii="Times New Roman" w:hAnsi="Times New Roman" w:cs="Times New Roman"/>
          <w:color w:val="000000"/>
          <w:sz w:val="20"/>
        </w:rPr>
        <w:t>’</w:t>
      </w:r>
      <w:r>
        <w:rPr>
          <w:rFonts w:ascii="Times New Roman" w:hAnsi="Times New Roman" w:cs="Times New Roman"/>
          <w:color w:val="000000"/>
          <w:sz w:val="20"/>
        </w:rPr>
        <w:t>s expected shortened lifespan is unhelpful because their holdings do not reflect California law. (</w:t>
      </w:r>
      <w:r>
        <w:rPr>
          <w:rFonts w:ascii="Times New Roman" w:hAnsi="Times New Roman" w:cs="Times New Roman"/>
          <w:i/>
          <w:color w:val="0000FF"/>
          <w:sz w:val="20"/>
        </w:rPr>
        <w:t>Castro v. Melchor</w:t>
      </w:r>
      <w:r>
        <w:rPr>
          <w:rFonts w:ascii="Times New Roman" w:hAnsi="Times New Roman" w:cs="Times New Roman"/>
          <w:color w:val="0000FF"/>
          <w:sz w:val="20"/>
        </w:rPr>
        <w:t xml:space="preserve"> (2018) 142 Haw. 1, 11</w:t>
      </w:r>
      <w:r>
        <w:rPr>
          <w:rFonts w:ascii="Times New Roman" w:hAnsi="Times New Roman" w:cs="Times New Roman"/>
          <w:color w:val="0000FF"/>
          <w:sz w:val="20"/>
        </w:rPr>
        <w:t>–</w:t>
      </w:r>
      <w:r>
        <w:rPr>
          <w:rFonts w:ascii="Times New Roman" w:hAnsi="Times New Roman" w:cs="Times New Roman"/>
          <w:color w:val="0000FF"/>
          <w:sz w:val="20"/>
        </w:rPr>
        <w:t>12, 15 [414 P.3d 53, 63</w:t>
      </w:r>
      <w:r>
        <w:rPr>
          <w:rFonts w:ascii="Times New Roman" w:hAnsi="Times New Roman" w:cs="Times New Roman"/>
          <w:color w:val="0000FF"/>
          <w:sz w:val="20"/>
        </w:rPr>
        <w:t>–</w:t>
      </w:r>
      <w:r>
        <w:rPr>
          <w:rFonts w:ascii="Times New Roman" w:hAnsi="Times New Roman" w:cs="Times New Roman"/>
          <w:color w:val="0000FF"/>
          <w:sz w:val="20"/>
        </w:rPr>
        <w:t>64, 67]</w:t>
      </w:r>
      <w:r>
        <w:rPr>
          <w:rFonts w:ascii="Times New Roman" w:hAnsi="Times New Roman" w:cs="Times New Roman"/>
          <w:color w:val="000000"/>
          <w:sz w:val="20"/>
        </w:rPr>
        <w:t xml:space="preserve"> [case presented narrow question of whether estate of stillborn fetus may recover damag</w:t>
      </w:r>
      <w:r>
        <w:rPr>
          <w:rFonts w:ascii="Times New Roman" w:hAnsi="Times New Roman" w:cs="Times New Roman"/>
          <w:color w:val="000000"/>
          <w:sz w:val="20"/>
        </w:rPr>
        <w:t xml:space="preserve">es for loss of enjoyment of life; </w:t>
      </w:r>
      <w:r>
        <w:rPr>
          <w:rFonts w:ascii="Times New Roman" w:hAnsi="Times New Roman" w:cs="Times New Roman"/>
          <w:color w:val="000000"/>
          <w:sz w:val="20"/>
        </w:rPr>
        <w:t>“</w:t>
      </w:r>
      <w:r>
        <w:rPr>
          <w:rFonts w:ascii="Times New Roman" w:hAnsi="Times New Roman" w:cs="Times New Roman"/>
          <w:color w:val="000000"/>
          <w:sz w:val="20"/>
        </w:rPr>
        <w:t>consciousness</w:t>
      </w:r>
      <w:r>
        <w:rPr>
          <w:rFonts w:ascii="Times New Roman" w:hAnsi="Times New Roman" w:cs="Times New Roman"/>
          <w:color w:val="000000"/>
          <w:sz w:val="20"/>
        </w:rPr>
        <w:t>”</w:t>
      </w:r>
      <w:r>
        <w:rPr>
          <w:rFonts w:ascii="Times New Roman" w:hAnsi="Times New Roman" w:cs="Times New Roman"/>
          <w:color w:val="000000"/>
          <w:sz w:val="20"/>
        </w:rPr>
        <w:t xml:space="preserve"> not required to recover such losses under state law because </w:t>
      </w:r>
      <w:r>
        <w:rPr>
          <w:rFonts w:ascii="Times New Roman" w:hAnsi="Times New Roman" w:cs="Times New Roman"/>
          <w:color w:val="000000"/>
          <w:sz w:val="20"/>
        </w:rPr>
        <w:t>“</w:t>
      </w:r>
      <w:r>
        <w:rPr>
          <w:rFonts w:ascii="Times New Roman" w:hAnsi="Times New Roman" w:cs="Times New Roman"/>
          <w:color w:val="000000"/>
          <w:sz w:val="20"/>
        </w:rPr>
        <w:t>Hawai</w:t>
      </w:r>
      <w:r>
        <w:rPr>
          <w:rFonts w:ascii="Times New Roman" w:hAnsi="Times New Roman" w:cs="Times New Roman"/>
          <w:color w:val="000000"/>
          <w:sz w:val="20"/>
        </w:rPr>
        <w:t>‘</w:t>
      </w:r>
      <w:r>
        <w:rPr>
          <w:rFonts w:ascii="Times New Roman" w:hAnsi="Times New Roman" w:cs="Times New Roman"/>
          <w:color w:val="000000"/>
          <w:sz w:val="20"/>
        </w:rPr>
        <w:t>i case law is unique</w:t>
      </w:r>
      <w:r>
        <w:rPr>
          <w:rFonts w:ascii="Times New Roman" w:hAnsi="Times New Roman" w:cs="Times New Roman"/>
          <w:color w:val="000000"/>
          <w:sz w:val="20"/>
        </w:rPr>
        <w:t>”</w:t>
      </w:r>
      <w:r>
        <w:rPr>
          <w:rFonts w:ascii="Times New Roman" w:hAnsi="Times New Roman" w:cs="Times New Roman"/>
          <w:color w:val="000000"/>
          <w:sz w:val="20"/>
        </w:rPr>
        <w:t xml:space="preserve"> in this regard]; </w:t>
      </w:r>
      <w:r>
        <w:rPr>
          <w:rFonts w:ascii="Times New Roman" w:hAnsi="Times New Roman" w:cs="Times New Roman"/>
          <w:i/>
          <w:color w:val="0000FF"/>
          <w:sz w:val="20"/>
        </w:rPr>
        <w:t>Dickhoff v. Green</w:t>
      </w:r>
      <w:r>
        <w:rPr>
          <w:rFonts w:ascii="Times New Roman" w:hAnsi="Times New Roman" w:cs="Times New Roman"/>
          <w:color w:val="0000FF"/>
          <w:sz w:val="20"/>
        </w:rPr>
        <w:t xml:space="preserve"> (Minn. 2013) 836 N.W.2d 321, 336</w:t>
      </w:r>
      <w:r>
        <w:rPr>
          <w:rFonts w:ascii="Times New Roman" w:hAnsi="Times New Roman" w:cs="Times New Roman"/>
          <w:color w:val="000000"/>
          <w:sz w:val="20"/>
        </w:rPr>
        <w:t xml:space="preserve"> [calculation of </w:t>
      </w:r>
      <w:r>
        <w:rPr>
          <w:rFonts w:ascii="Times New Roman" w:hAnsi="Times New Roman" w:cs="Times New Roman"/>
          <w:color w:val="000000"/>
          <w:sz w:val="20"/>
        </w:rPr>
        <w:t>“</w:t>
      </w:r>
      <w:r>
        <w:rPr>
          <w:rFonts w:ascii="Times New Roman" w:hAnsi="Times New Roman" w:cs="Times New Roman"/>
          <w:color w:val="000000"/>
          <w:sz w:val="20"/>
        </w:rPr>
        <w:t>loss of chance</w:t>
      </w:r>
      <w:r>
        <w:rPr>
          <w:rFonts w:ascii="Times New Roman" w:hAnsi="Times New Roman" w:cs="Times New Roman"/>
          <w:color w:val="000000"/>
          <w:sz w:val="20"/>
        </w:rPr>
        <w:t>”</w:t>
      </w:r>
      <w:r>
        <w:rPr>
          <w:rFonts w:ascii="Times New Roman" w:hAnsi="Times New Roman" w:cs="Times New Roman"/>
          <w:color w:val="000000"/>
          <w:sz w:val="20"/>
        </w:rPr>
        <w:t xml:space="preserve"> damages where de</w:t>
      </w:r>
      <w:r>
        <w:rPr>
          <w:rFonts w:ascii="Times New Roman" w:hAnsi="Times New Roman" w:cs="Times New Roman"/>
          <w:color w:val="000000"/>
          <w:sz w:val="20"/>
        </w:rPr>
        <w:t xml:space="preserve">layed diagnosis leads to reduced life expectancy]; </w:t>
      </w:r>
      <w:r>
        <w:rPr>
          <w:rFonts w:ascii="Times New Roman" w:hAnsi="Times New Roman" w:cs="Times New Roman"/>
          <w:i/>
          <w:color w:val="0000FF"/>
          <w:sz w:val="20"/>
        </w:rPr>
        <w:t>Bauer ex rel.,Bauer v. Memorial Hosp.</w:t>
      </w:r>
      <w:r>
        <w:rPr>
          <w:rFonts w:ascii="Times New Roman" w:hAnsi="Times New Roman" w:cs="Times New Roman"/>
          <w:color w:val="0000FF"/>
          <w:sz w:val="20"/>
        </w:rPr>
        <w:t xml:space="preserve"> (2007) 377 Ill.App.3d 895, 919</w:t>
      </w:r>
      <w:r>
        <w:rPr>
          <w:rFonts w:ascii="Times New Roman" w:hAnsi="Times New Roman" w:cs="Times New Roman"/>
          <w:color w:val="0000FF"/>
          <w:sz w:val="20"/>
        </w:rPr>
        <w:t>–</w:t>
      </w:r>
      <w:r>
        <w:rPr>
          <w:rFonts w:ascii="Times New Roman" w:hAnsi="Times New Roman" w:cs="Times New Roman"/>
          <w:color w:val="0000FF"/>
          <w:sz w:val="20"/>
        </w:rPr>
        <w:t>920 [879 N.E.2d 478, 500</w:t>
      </w:r>
      <w:r>
        <w:rPr>
          <w:rFonts w:ascii="Times New Roman" w:hAnsi="Times New Roman" w:cs="Times New Roman"/>
          <w:color w:val="0000FF"/>
          <w:sz w:val="20"/>
        </w:rPr>
        <w:t>–</w:t>
      </w:r>
      <w:r>
        <w:rPr>
          <w:rFonts w:ascii="Times New Roman" w:hAnsi="Times New Roman" w:cs="Times New Roman"/>
          <w:color w:val="0000FF"/>
          <w:sz w:val="20"/>
        </w:rPr>
        <w:t>501]</w:t>
      </w:r>
      <w:r>
        <w:rPr>
          <w:rFonts w:ascii="Times New Roman" w:hAnsi="Times New Roman" w:cs="Times New Roman"/>
          <w:color w:val="000000"/>
          <w:sz w:val="20"/>
        </w:rPr>
        <w:t xml:space="preserve"> [Illinois and other states allow recovery for decreased life expectancy].) In fact, at least one state</w:t>
      </w:r>
      <w:r>
        <w:rPr>
          <w:rFonts w:ascii="Times New Roman" w:hAnsi="Times New Roman" w:cs="Times New Roman"/>
          <w:color w:val="000000"/>
          <w:sz w:val="20"/>
        </w:rPr>
        <w:t>’</w:t>
      </w:r>
      <w:r>
        <w:rPr>
          <w:rFonts w:ascii="Times New Roman" w:hAnsi="Times New Roman" w:cs="Times New Roman"/>
          <w:color w:val="000000"/>
          <w:sz w:val="20"/>
        </w:rPr>
        <w:t>s l</w:t>
      </w:r>
      <w:r>
        <w:rPr>
          <w:rFonts w:ascii="Times New Roman" w:hAnsi="Times New Roman" w:cs="Times New Roman"/>
          <w:color w:val="000000"/>
          <w:sz w:val="20"/>
        </w:rPr>
        <w:t xml:space="preserve">egislature apparently changed its law in response the holding of a case cited by Johnson. (See </w:t>
      </w:r>
      <w:r>
        <w:rPr>
          <w:rFonts w:ascii="Times New Roman" w:hAnsi="Times New Roman" w:cs="Times New Roman"/>
          <w:i/>
          <w:color w:val="000000"/>
          <w:sz w:val="20"/>
        </w:rPr>
        <w:t xml:space="preserve">Illinois. </w:t>
      </w:r>
      <w:r>
        <w:rPr>
          <w:rFonts w:ascii="Times New Roman" w:hAnsi="Times New Roman" w:cs="Times New Roman"/>
          <w:i/>
          <w:color w:val="0000FF"/>
          <w:sz w:val="20"/>
        </w:rPr>
        <w:t>Cent. R. Co. v. Young</w:t>
      </w:r>
      <w:r>
        <w:rPr>
          <w:rFonts w:ascii="Times New Roman" w:hAnsi="Times New Roman" w:cs="Times New Roman"/>
          <w:color w:val="0000FF"/>
          <w:sz w:val="20"/>
        </w:rPr>
        <w:t xml:space="preserve"> (Miss.Ct.App. 2012) 120 So.3d 992, 1009, fn. 13</w:t>
      </w:r>
      <w:r>
        <w:rPr>
          <w:rFonts w:ascii="Times New Roman" w:hAnsi="Times New Roman" w:cs="Times New Roman"/>
          <w:color w:val="000000"/>
          <w:sz w:val="20"/>
        </w:rPr>
        <w:t xml:space="preserve"> [after Mississippi Supreme Court allowed damages for loss of enjoyment of life of</w:t>
      </w:r>
      <w:r>
        <w:rPr>
          <w:rFonts w:ascii="Times New Roman" w:hAnsi="Times New Roman" w:cs="Times New Roman"/>
          <w:color w:val="000000"/>
          <w:sz w:val="20"/>
        </w:rPr>
        <w:t xml:space="preserve"> person killed in car accident (</w:t>
      </w:r>
      <w:r>
        <w:rPr>
          <w:rFonts w:ascii="Times New Roman" w:hAnsi="Times New Roman" w:cs="Times New Roman"/>
          <w:i/>
          <w:color w:val="0000FF"/>
          <w:sz w:val="20"/>
        </w:rPr>
        <w:t>Choctaw Maid Farms, Inc. v. Hailey</w:t>
      </w:r>
      <w:r>
        <w:rPr>
          <w:rFonts w:ascii="Times New Roman" w:hAnsi="Times New Roman" w:cs="Times New Roman"/>
          <w:color w:val="0000FF"/>
          <w:sz w:val="20"/>
        </w:rPr>
        <w:t xml:space="preserve"> (Miss. 2002) 822 So.2d 911, 923</w:t>
      </w:r>
      <w:r>
        <w:rPr>
          <w:rFonts w:ascii="Times New Roman" w:hAnsi="Times New Roman" w:cs="Times New Roman"/>
          <w:color w:val="000000"/>
          <w:sz w:val="20"/>
        </w:rPr>
        <w:t>), law was changed to deny recovery for loss of enjoyment of life caused by death].)</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We accept that there may be valid policy arguments to support allowing </w:t>
      </w:r>
      <w:r>
        <w:rPr>
          <w:rFonts w:ascii="Times New Roman" w:hAnsi="Times New Roman" w:cs="Times New Roman"/>
          <w:color w:val="000000"/>
          <w:sz w:val="20"/>
        </w:rPr>
        <w:t xml:space="preserve">the recovery of damages for a shortened life expectancy. (See, e.g., </w:t>
      </w:r>
      <w:r>
        <w:rPr>
          <w:rFonts w:ascii="Times New Roman" w:hAnsi="Times New Roman" w:cs="Times New Roman"/>
          <w:i/>
          <w:color w:val="0000FF"/>
          <w:sz w:val="20"/>
        </w:rPr>
        <w:t>DePass v. United States</w:t>
      </w:r>
      <w:r>
        <w:rPr>
          <w:rFonts w:ascii="Times New Roman" w:hAnsi="Times New Roman" w:cs="Times New Roman"/>
          <w:color w:val="0000FF"/>
          <w:sz w:val="20"/>
        </w:rPr>
        <w:t xml:space="preserve"> (7th Cir. 1983) 721 F.2d 203, 208</w:t>
      </w:r>
      <w:r>
        <w:rPr>
          <w:rFonts w:ascii="Times New Roman" w:hAnsi="Times New Roman" w:cs="Times New Roman"/>
          <w:color w:val="000000"/>
          <w:sz w:val="20"/>
        </w:rPr>
        <w:t xml:space="preserve"> (dis. opn. of Posner, J.) [</w:t>
      </w:r>
      <w:r>
        <w:rPr>
          <w:rFonts w:ascii="Times New Roman" w:hAnsi="Times New Roman" w:cs="Times New Roman"/>
          <w:color w:val="000000"/>
          <w:sz w:val="20"/>
        </w:rPr>
        <w:t>“</w:t>
      </w:r>
      <w:r>
        <w:rPr>
          <w:rFonts w:ascii="Times New Roman" w:hAnsi="Times New Roman" w:cs="Times New Roman"/>
          <w:color w:val="000000"/>
          <w:sz w:val="20"/>
        </w:rPr>
        <w:t>Although few reported cases ... deal with the specific question whether a reduction in life expectanc</w:t>
      </w:r>
      <w:r>
        <w:rPr>
          <w:rFonts w:ascii="Times New Roman" w:hAnsi="Times New Roman" w:cs="Times New Roman"/>
          <w:color w:val="000000"/>
          <w:sz w:val="20"/>
        </w:rPr>
        <w:t>y is compensable, the trend is toward allowing recovery in such cases. [Citations.] As it should be. A tortfeasor should not get off scot-free because instead of killing his victim outright he inflicts an injury that is likely though not certain to shorten</w:t>
      </w:r>
      <w:r>
        <w:rPr>
          <w:rFonts w:ascii="Times New Roman" w:hAnsi="Times New Roman" w:cs="Times New Roman"/>
          <w:color w:val="000000"/>
          <w:sz w:val="20"/>
        </w:rPr>
        <w:t xml:space="preserve"> the victim</w:t>
      </w:r>
      <w:r>
        <w:rPr>
          <w:rFonts w:ascii="Times New Roman" w:hAnsi="Times New Roman" w:cs="Times New Roman"/>
          <w:color w:val="000000"/>
          <w:sz w:val="20"/>
        </w:rPr>
        <w:t>’</w:t>
      </w:r>
      <w:r>
        <w:rPr>
          <w:rFonts w:ascii="Times New Roman" w:hAnsi="Times New Roman" w:cs="Times New Roman"/>
          <w:color w:val="000000"/>
          <w:sz w:val="20"/>
        </w:rPr>
        <w:t>s life.</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00"/>
          <w:sz w:val="20"/>
        </w:rPr>
        <w:t xml:space="preserve">Estate of </w:t>
      </w:r>
      <w:r>
        <w:rPr>
          <w:rFonts w:ascii="Times New Roman" w:hAnsi="Times New Roman" w:cs="Times New Roman"/>
          <w:i/>
          <w:color w:val="0000FF"/>
          <w:sz w:val="20"/>
        </w:rPr>
        <w:t>Otani v. Broudy</w:t>
      </w:r>
      <w:r>
        <w:rPr>
          <w:rFonts w:ascii="Times New Roman" w:hAnsi="Times New Roman" w:cs="Times New Roman"/>
          <w:color w:val="0000FF"/>
          <w:sz w:val="20"/>
        </w:rPr>
        <w:t xml:space="preserve"> (Wash. 2004) 92 P.3d 192, 200</w:t>
      </w:r>
      <w:r>
        <w:rPr>
          <w:rFonts w:ascii="Times New Roman" w:hAnsi="Times New Roman" w:cs="Times New Roman"/>
          <w:color w:val="0000FF"/>
          <w:sz w:val="20"/>
        </w:rPr>
        <w:t>–</w:t>
      </w:r>
      <w:r>
        <w:rPr>
          <w:rFonts w:ascii="Times New Roman" w:hAnsi="Times New Roman" w:cs="Times New Roman"/>
          <w:color w:val="0000FF"/>
          <w:sz w:val="20"/>
        </w:rPr>
        <w:t>201</w:t>
      </w:r>
      <w:r>
        <w:rPr>
          <w:rFonts w:ascii="Times New Roman" w:hAnsi="Times New Roman" w:cs="Times New Roman"/>
          <w:color w:val="000000"/>
          <w:sz w:val="20"/>
        </w:rPr>
        <w:t xml:space="preserve"> (dis. opn. of Sanders, J.) [</w:t>
      </w:r>
      <w:r>
        <w:rPr>
          <w:rFonts w:ascii="Times New Roman" w:hAnsi="Times New Roman" w:cs="Times New Roman"/>
          <w:color w:val="000000"/>
          <w:sz w:val="20"/>
        </w:rPr>
        <w:t>“</w:t>
      </w:r>
      <w:r>
        <w:rPr>
          <w:rFonts w:ascii="Times New Roman" w:hAnsi="Times New Roman" w:cs="Times New Roman"/>
          <w:color w:val="000000"/>
          <w:sz w:val="20"/>
        </w:rPr>
        <w:t>M]any jurisdictions have recently begun to recognize that in a personal injury action the shortening of a person</w:t>
      </w:r>
      <w:r>
        <w:rPr>
          <w:rFonts w:ascii="Times New Roman" w:hAnsi="Times New Roman" w:cs="Times New Roman"/>
          <w:color w:val="000000"/>
          <w:sz w:val="20"/>
        </w:rPr>
        <w:t>’</w:t>
      </w:r>
      <w:r>
        <w:rPr>
          <w:rFonts w:ascii="Times New Roman" w:hAnsi="Times New Roman" w:cs="Times New Roman"/>
          <w:color w:val="000000"/>
          <w:sz w:val="20"/>
        </w:rPr>
        <w:t>s life expectancy is a cognizab</w:t>
      </w:r>
      <w:r>
        <w:rPr>
          <w:rFonts w:ascii="Times New Roman" w:hAnsi="Times New Roman" w:cs="Times New Roman"/>
          <w:color w:val="000000"/>
          <w:sz w:val="20"/>
        </w:rPr>
        <w:t>le injury. ¶ ... ¶ It is logical to recognize, as those courts do, that life itself has value and a defendant should be required to pay damages for wrongful conduct that reduces a person</w:t>
      </w:r>
      <w:r>
        <w:rPr>
          <w:rFonts w:ascii="Times New Roman" w:hAnsi="Times New Roman" w:cs="Times New Roman"/>
          <w:color w:val="000000"/>
          <w:sz w:val="20"/>
        </w:rPr>
        <w:t>’</w:t>
      </w:r>
      <w:r>
        <w:rPr>
          <w:rFonts w:ascii="Times New Roman" w:hAnsi="Times New Roman" w:cs="Times New Roman"/>
          <w:color w:val="000000"/>
          <w:sz w:val="20"/>
        </w:rPr>
        <w:t>s life expectancy. To be sure, what is more valuable than life itself</w:t>
      </w:r>
      <w:r>
        <w:rPr>
          <w:rFonts w:ascii="Times New Roman" w:hAnsi="Times New Roman" w:cs="Times New Roman"/>
          <w:color w:val="000000"/>
          <w:sz w:val="20"/>
        </w:rPr>
        <w:t>?</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00"/>
          <w:sz w:val="20"/>
        </w:rPr>
        <w:t>see also</w:t>
      </w:r>
      <w:r>
        <w:rPr>
          <w:rFonts w:ascii="Times New Roman" w:hAnsi="Times New Roman" w:cs="Times New Roman"/>
          <w:color w:val="000000"/>
          <w:sz w:val="20"/>
        </w:rPr>
        <w:t xml:space="preserve"> Kevin G. Burke, </w:t>
      </w:r>
      <w:r>
        <w:rPr>
          <w:rFonts w:ascii="Times New Roman" w:hAnsi="Times New Roman" w:cs="Times New Roman"/>
          <w:i/>
          <w:color w:val="0000FF"/>
          <w:sz w:val="20"/>
        </w:rPr>
        <w:t>A New Remedy for a Life Cut Short,</w:t>
      </w:r>
      <w:r>
        <w:rPr>
          <w:rFonts w:ascii="Times New Roman" w:hAnsi="Times New Roman" w:cs="Times New Roman"/>
          <w:color w:val="0000FF"/>
          <w:sz w:val="20"/>
        </w:rPr>
        <w:t xml:space="preserve"> 40 Trial 64, 65 (March 2004)</w:t>
      </w:r>
      <w:r>
        <w:rPr>
          <w:rFonts w:ascii="Times New Roman" w:hAnsi="Times New Roman" w:cs="Times New Roman"/>
          <w:color w:val="000000"/>
          <w:sz w:val="20"/>
        </w:rPr>
        <w:t xml:space="preserve">.) But our holding rests on California law as was reflected in </w:t>
      </w:r>
      <w:r>
        <w:rPr>
          <w:rFonts w:ascii="Times New Roman" w:hAnsi="Times New Roman" w:cs="Times New Roman"/>
          <w:color w:val="0000FF"/>
          <w:sz w:val="20"/>
        </w:rPr>
        <w:t>CACI No. 3905A</w:t>
      </w:r>
      <w:r>
        <w:rPr>
          <w:rFonts w:ascii="Times New Roman" w:hAnsi="Times New Roman" w:cs="Times New Roman"/>
          <w:color w:val="000000"/>
          <w:sz w:val="20"/>
        </w:rPr>
        <w:t>, which was given to the jury without any objection to the part requiring Johnson to p</w:t>
      </w:r>
      <w:r>
        <w:rPr>
          <w:rFonts w:ascii="Times New Roman" w:hAnsi="Times New Roman" w:cs="Times New Roman"/>
          <w:color w:val="000000"/>
          <w:sz w:val="20"/>
        </w:rPr>
        <w:t xml:space="preserve">rove he was </w:t>
      </w:r>
      <w:r>
        <w:rPr>
          <w:rFonts w:ascii="Times New Roman" w:hAnsi="Times New Roman" w:cs="Times New Roman"/>
          <w:color w:val="000000"/>
          <w:sz w:val="20"/>
        </w:rPr>
        <w:t>“</w:t>
      </w:r>
      <w:r>
        <w:rPr>
          <w:rFonts w:ascii="Times New Roman" w:hAnsi="Times New Roman" w:cs="Times New Roman"/>
          <w:color w:val="000000"/>
          <w:sz w:val="20"/>
        </w:rPr>
        <w:t>reasonably certain to suffer</w:t>
      </w:r>
      <w:r>
        <w:rPr>
          <w:rFonts w:ascii="Times New Roman" w:hAnsi="Times New Roman" w:cs="Times New Roman"/>
          <w:color w:val="000000"/>
          <w:sz w:val="20"/>
        </w:rPr>
        <w:t>”</w:t>
      </w:r>
      <w:r>
        <w:rPr>
          <w:rFonts w:ascii="Times New Roman" w:hAnsi="Times New Roman" w:cs="Times New Roman"/>
          <w:color w:val="000000"/>
          <w:sz w:val="20"/>
        </w:rPr>
        <w:t xml:space="preserve"> the harm for which compensation was sought.</w:t>
      </w:r>
      <w:bookmarkStart w:id="60" w:name="co_fnRef_B00062051484338_ID0EG2BK_1"/>
      <w:bookmarkEnd w:id="60"/>
      <w:r>
        <w:rPr>
          <w:rFonts w:ascii="Times New Roman" w:hAnsi="Times New Roman" w:cs="Times New Roman"/>
          <w:color w:val="0000FF"/>
          <w:sz w:val="16"/>
          <w:vertAlign w:val="superscript"/>
        </w:rPr>
        <w:t>5</w:t>
      </w:r>
      <w:r>
        <w:rPr>
          <w:rFonts w:ascii="Times New Roman" w:hAnsi="Times New Roman" w:cs="Times New Roman"/>
          <w:color w:val="000000"/>
          <w:sz w:val="20"/>
        </w:rPr>
        <w:t xml:space="preserve"> By limiting future noneconomic damages to those Johnson was reasonably certain to suffer, the inst</w:t>
      </w:r>
      <w:r>
        <w:rPr>
          <w:rFonts w:ascii="Times New Roman" w:hAnsi="Times New Roman" w:cs="Times New Roman"/>
          <w:color w:val="000000"/>
          <w:sz w:val="20"/>
        </w:rPr>
        <w:t>ruction disallowed damages for years beyond his expected life expectancy at the time of trial.</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61" w:name="co_pp_sp_999_30_1"/>
      <w:bookmarkEnd w:id="61"/>
      <w:r>
        <w:rPr>
          <w:rFonts w:ascii="Times New Roman" w:hAnsi="Times New Roman" w:cs="Times New Roman"/>
          <w:b/>
          <w:color w:val="000000"/>
          <w:sz w:val="20"/>
        </w:rPr>
        <w:t>*30</w:t>
      </w:r>
      <w:r>
        <w:rPr>
          <w:rFonts w:ascii="Times New Roman" w:hAnsi="Times New Roman" w:cs="Times New Roman"/>
          <w:color w:val="000000"/>
          <w:sz w:val="20"/>
        </w:rPr>
        <w:t xml:space="preserve"> In sum, the evidence supported an award of $1 </w:t>
      </w:r>
      <w:r>
        <w:rPr>
          <w:rFonts w:ascii="Times New Roman" w:hAnsi="Times New Roman" w:cs="Times New Roman"/>
          <w:color w:val="000000"/>
          <w:sz w:val="20"/>
        </w:rPr>
        <w:lastRenderedPageBreak/>
        <w:t>million per year for Johnson</w:t>
      </w:r>
      <w:r>
        <w:rPr>
          <w:rFonts w:ascii="Times New Roman" w:hAnsi="Times New Roman" w:cs="Times New Roman"/>
          <w:color w:val="000000"/>
          <w:sz w:val="20"/>
        </w:rPr>
        <w:t>’</w:t>
      </w:r>
      <w:r>
        <w:rPr>
          <w:rFonts w:ascii="Times New Roman" w:hAnsi="Times New Roman" w:cs="Times New Roman"/>
          <w:color w:val="000000"/>
          <w:sz w:val="20"/>
        </w:rPr>
        <w:t>s pain and suffering. There is no dispute that</w:t>
      </w:r>
      <w:r>
        <w:rPr>
          <w:rFonts w:ascii="Times New Roman" w:hAnsi="Times New Roman" w:cs="Times New Roman"/>
          <w:color w:val="000000"/>
          <w:sz w:val="20"/>
        </w:rPr>
        <w:t xml:space="preserve"> Johnson was entitled to $4 million for his suffering up to the time of trial in the summer of 2018. Although the evidence showed that Johnson had about two years of his life remaining after trial, his attorney represented at oral argument in June 2020 tha</w:t>
      </w:r>
      <w:r>
        <w:rPr>
          <w:rFonts w:ascii="Times New Roman" w:hAnsi="Times New Roman" w:cs="Times New Roman"/>
          <w:color w:val="000000"/>
          <w:sz w:val="20"/>
        </w:rPr>
        <w:t>t Johnson was still living. Instead of reducing the award to $2 million for the two years of future suffering he was expected to endure, we conclude that $4 million is an appropriate award under the circumstances, given that further legal challenges may fo</w:t>
      </w:r>
      <w:r>
        <w:rPr>
          <w:rFonts w:ascii="Times New Roman" w:hAnsi="Times New Roman" w:cs="Times New Roman"/>
          <w:color w:val="000000"/>
          <w:sz w:val="20"/>
        </w:rPr>
        <w:t>llow before the award becomes final. The jury</w:t>
      </w:r>
      <w:r>
        <w:rPr>
          <w:rFonts w:ascii="Times New Roman" w:hAnsi="Times New Roman" w:cs="Times New Roman"/>
          <w:color w:val="000000"/>
          <w:sz w:val="20"/>
        </w:rPr>
        <w:t>’</w:t>
      </w:r>
      <w:r>
        <w:rPr>
          <w:rFonts w:ascii="Times New Roman" w:hAnsi="Times New Roman" w:cs="Times New Roman"/>
          <w:color w:val="000000"/>
          <w:sz w:val="20"/>
        </w:rPr>
        <w:t>s total noneconomic damages award is thus reversed and remitted to $8 million ($4 million in past noneconomic loss, plus $4 million in future noneconomic loss), plus the other compensatory damages awarded, resu</w:t>
      </w:r>
      <w:r>
        <w:rPr>
          <w:rFonts w:ascii="Times New Roman" w:hAnsi="Times New Roman" w:cs="Times New Roman"/>
          <w:color w:val="000000"/>
          <w:sz w:val="20"/>
        </w:rPr>
        <w:t>lting in a total reduced award of $10,253,209.32 to compensate for economic loss. (</w:t>
      </w:r>
      <w:r>
        <w:rPr>
          <w:rFonts w:ascii="Times New Roman" w:hAnsi="Times New Roman" w:cs="Times New Roman"/>
          <w:i/>
          <w:color w:val="0000FF"/>
          <w:sz w:val="20"/>
        </w:rPr>
        <w:t>Behr v. Redmond</w:t>
      </w:r>
      <w:r>
        <w:rPr>
          <w:rFonts w:ascii="Times New Roman" w:hAnsi="Times New Roman" w:cs="Times New Roman"/>
          <w:color w:val="0000FF"/>
          <w:sz w:val="20"/>
        </w:rPr>
        <w:t xml:space="preserve"> (2011) 193 Cal.App.4th 517, 533</w:t>
      </w:r>
      <w:r>
        <w:rPr>
          <w:rFonts w:ascii="Times New Roman" w:hAnsi="Times New Roman" w:cs="Times New Roman"/>
          <w:color w:val="000000"/>
          <w:sz w:val="20"/>
        </w:rPr>
        <w:t xml:space="preserve"> [where evidence is sufficient to sustain some but not all damages, court will reduce judgment to amount supported by evidence</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62" w:name="co_anchor_I2fb87011cad611eaad728cad1da01"/>
      <w:bookmarkEnd w:id="62"/>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600" w:after="200"/>
        <w:jc w:val="center"/>
        <w:rPr>
          <w:rFonts w:ascii="Times New Roman" w:hAnsi="Times New Roman" w:cs="Times New Roman"/>
          <w:color w:val="000000"/>
          <w:sz w:val="20"/>
        </w:rPr>
      </w:pPr>
      <w:r>
        <w:rPr>
          <w:rFonts w:ascii="Times New Roman" w:hAnsi="Times New Roman" w:cs="Times New Roman"/>
          <w:color w:val="000000"/>
          <w:sz w:val="20"/>
        </w:rPr>
        <w:t>3. Johnson Was Entitled to Punitive Damages, but They Should Be Reduced Commensurate with the Reduction of Future Noneconomic Damages.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Monsanto contends that the award </w:t>
      </w:r>
      <w:r>
        <w:rPr>
          <w:rFonts w:ascii="Times New Roman" w:hAnsi="Times New Roman" w:cs="Times New Roman"/>
          <w:color w:val="000000"/>
          <w:sz w:val="20"/>
        </w:rPr>
        <w:t>of punitive damages must be stricken because there was no evidence, much less clear and convincing evidence, that Monsanto acted with malice and oppression. In his cross-appeal, Johnson argues that the jury</w:t>
      </w:r>
      <w:r>
        <w:rPr>
          <w:rFonts w:ascii="Times New Roman" w:hAnsi="Times New Roman" w:cs="Times New Roman"/>
          <w:color w:val="000000"/>
          <w:sz w:val="20"/>
        </w:rPr>
        <w:t>’</w:t>
      </w:r>
      <w:r>
        <w:rPr>
          <w:rFonts w:ascii="Times New Roman" w:hAnsi="Times New Roman" w:cs="Times New Roman"/>
          <w:color w:val="000000"/>
          <w:sz w:val="20"/>
        </w:rPr>
        <w:t>s full award of punitive damages should be reinst</w:t>
      </w:r>
      <w:r>
        <w:rPr>
          <w:rFonts w:ascii="Times New Roman" w:hAnsi="Times New Roman" w:cs="Times New Roman"/>
          <w:color w:val="000000"/>
          <w:sz w:val="20"/>
        </w:rPr>
        <w:t>ated. We conclude that sufficient evidence supports the award of punitive damages but that the amount should be reduced to correspond with our reduction of future noneconomic damages.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63" w:name="co_anchor_I2fb8e541cad611eaad728cad1da01"/>
      <w:bookmarkEnd w:id="63"/>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600" w:after="200"/>
        <w:jc w:val="center"/>
        <w:rPr>
          <w:rFonts w:ascii="Times New Roman" w:hAnsi="Times New Roman" w:cs="Times New Roman"/>
          <w:color w:val="000000"/>
          <w:sz w:val="20"/>
        </w:rPr>
      </w:pPr>
      <w:r>
        <w:rPr>
          <w:rFonts w:ascii="Times New Roman" w:hAnsi="Times New Roman" w:cs="Times New Roman"/>
          <w:color w:val="000000"/>
          <w:sz w:val="20"/>
        </w:rPr>
        <w:t>a. Monsanto</w:t>
      </w:r>
      <w:r>
        <w:rPr>
          <w:rFonts w:ascii="Times New Roman" w:hAnsi="Times New Roman" w:cs="Times New Roman"/>
          <w:color w:val="000000"/>
          <w:sz w:val="20"/>
        </w:rPr>
        <w:t>’</w:t>
      </w:r>
      <w:r>
        <w:rPr>
          <w:rFonts w:ascii="Times New Roman" w:hAnsi="Times New Roman" w:cs="Times New Roman"/>
          <w:color w:val="000000"/>
          <w:sz w:val="20"/>
        </w:rPr>
        <w:t>s Appeal.</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Punitive damages are available where the plaintiff proves </w:t>
      </w:r>
      <w:r>
        <w:rPr>
          <w:rFonts w:ascii="Times New Roman" w:hAnsi="Times New Roman" w:cs="Times New Roman"/>
          <w:color w:val="000000"/>
          <w:sz w:val="20"/>
        </w:rPr>
        <w:t>“</w:t>
      </w:r>
      <w:r>
        <w:rPr>
          <w:rFonts w:ascii="Times New Roman" w:hAnsi="Times New Roman" w:cs="Times New Roman"/>
          <w:color w:val="000000"/>
          <w:sz w:val="20"/>
        </w:rPr>
        <w:t>by clear and convincing evidence that the defendant has been guilty of oppression, fraud, or malice.</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FF"/>
          <w:sz w:val="20"/>
        </w:rPr>
        <w:t>Civ. Code, § 3294, subd. (a)</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Malice</w:t>
      </w:r>
      <w:r>
        <w:rPr>
          <w:rFonts w:ascii="Times New Roman" w:hAnsi="Times New Roman" w:cs="Times New Roman"/>
          <w:color w:val="000000"/>
          <w:sz w:val="20"/>
        </w:rPr>
        <w:t>”</w:t>
      </w:r>
      <w:r>
        <w:rPr>
          <w:rFonts w:ascii="Times New Roman" w:hAnsi="Times New Roman" w:cs="Times New Roman"/>
          <w:color w:val="000000"/>
          <w:sz w:val="20"/>
        </w:rPr>
        <w:t xml:space="preserve"> includes </w:t>
      </w:r>
      <w:r>
        <w:rPr>
          <w:rFonts w:ascii="Times New Roman" w:hAnsi="Times New Roman" w:cs="Times New Roman"/>
          <w:color w:val="000000"/>
          <w:sz w:val="20"/>
        </w:rPr>
        <w:t>“</w:t>
      </w:r>
      <w:r>
        <w:rPr>
          <w:rFonts w:ascii="Times New Roman" w:hAnsi="Times New Roman" w:cs="Times New Roman"/>
          <w:color w:val="000000"/>
          <w:sz w:val="20"/>
        </w:rPr>
        <w:t>despicable conduct which is carried on by the defendant with a willful and conscious disregard of the rights or safety of others.</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FF"/>
          <w:sz w:val="20"/>
        </w:rPr>
        <w:t>Civ. Code, § 3294, subd. (c)(1)</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w:t>
      </w:r>
      <w:r>
        <w:rPr>
          <w:rFonts w:ascii="Times New Roman" w:hAnsi="Times New Roman" w:cs="Times New Roman"/>
          <w:color w:val="000000"/>
          <w:sz w:val="20"/>
        </w:rPr>
        <w:t>Whether to award punitive damages and how much to award were issues for the jury and fo</w:t>
      </w:r>
      <w:r>
        <w:rPr>
          <w:rFonts w:ascii="Times New Roman" w:hAnsi="Times New Roman" w:cs="Times New Roman"/>
          <w:color w:val="000000"/>
          <w:sz w:val="20"/>
        </w:rPr>
        <w:t>r the trial court on the new trial motion. All presumptions favor the correctness of the verdict and judgment.</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Stevens v. Owens-Corning Fiberglas Corp.</w:t>
      </w:r>
      <w:r>
        <w:rPr>
          <w:rFonts w:ascii="Times New Roman" w:hAnsi="Times New Roman" w:cs="Times New Roman"/>
          <w:color w:val="0000FF"/>
          <w:sz w:val="20"/>
        </w:rPr>
        <w:t xml:space="preserve"> (1996) 49 Cal.App.4th 1645, 1658</w:t>
      </w:r>
      <w:r>
        <w:rPr>
          <w:rFonts w:ascii="Times New Roman" w:hAnsi="Times New Roman" w:cs="Times New Roman"/>
          <w:color w:val="000000"/>
          <w:sz w:val="20"/>
        </w:rPr>
        <w:t>.) We review the evidence supporting awards of punitive damages for su</w:t>
      </w:r>
      <w:r>
        <w:rPr>
          <w:rFonts w:ascii="Times New Roman" w:hAnsi="Times New Roman" w:cs="Times New Roman"/>
          <w:color w:val="000000"/>
          <w:sz w:val="20"/>
        </w:rPr>
        <w:t>bstantial evidence. (</w:t>
      </w:r>
      <w:r>
        <w:rPr>
          <w:rFonts w:ascii="Times New Roman" w:hAnsi="Times New Roman" w:cs="Times New Roman"/>
          <w:i/>
          <w:color w:val="0000FF"/>
          <w:sz w:val="20"/>
        </w:rPr>
        <w:t>Stewart v. Union Carbide Corp.</w:t>
      </w:r>
      <w:r>
        <w:rPr>
          <w:rFonts w:ascii="Times New Roman" w:hAnsi="Times New Roman" w:cs="Times New Roman"/>
          <w:color w:val="0000FF"/>
          <w:sz w:val="20"/>
        </w:rPr>
        <w:t xml:space="preserve"> (2010) 190 Cal.App.4th 23, 34</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As in other cases involving the issue of substantial evidence, we are bound to </w:t>
      </w:r>
      <w:r>
        <w:rPr>
          <w:rFonts w:ascii="Times New Roman" w:hAnsi="Times New Roman" w:cs="Times New Roman"/>
          <w:color w:val="000000"/>
          <w:sz w:val="20"/>
        </w:rPr>
        <w:t>‘</w:t>
      </w:r>
      <w:r>
        <w:rPr>
          <w:rFonts w:ascii="Times New Roman" w:hAnsi="Times New Roman" w:cs="Times New Roman"/>
          <w:color w:val="000000"/>
          <w:sz w:val="20"/>
        </w:rPr>
        <w:t xml:space="preserve">consider the evidence in the light </w:t>
      </w:r>
      <w:r>
        <w:rPr>
          <w:rFonts w:ascii="Times New Roman" w:hAnsi="Times New Roman" w:cs="Times New Roman"/>
          <w:i/>
          <w:color w:val="000000"/>
          <w:sz w:val="20"/>
        </w:rPr>
        <w:t>most favorable to the prevailing party</w:t>
      </w:r>
      <w:r>
        <w:rPr>
          <w:rFonts w:ascii="Times New Roman" w:hAnsi="Times New Roman" w:cs="Times New Roman"/>
          <w:color w:val="000000"/>
          <w:sz w:val="20"/>
        </w:rPr>
        <w:t>, giving him the b</w:t>
      </w:r>
      <w:r>
        <w:rPr>
          <w:rFonts w:ascii="Times New Roman" w:hAnsi="Times New Roman" w:cs="Times New Roman"/>
          <w:color w:val="000000"/>
          <w:sz w:val="20"/>
        </w:rPr>
        <w:t xml:space="preserve">enefit of </w:t>
      </w:r>
      <w:r>
        <w:rPr>
          <w:rFonts w:ascii="Times New Roman" w:hAnsi="Times New Roman" w:cs="Times New Roman"/>
          <w:i/>
          <w:color w:val="000000"/>
          <w:sz w:val="20"/>
        </w:rPr>
        <w:t>every reasonable inference</w:t>
      </w:r>
      <w:r>
        <w:rPr>
          <w:rFonts w:ascii="Times New Roman" w:hAnsi="Times New Roman" w:cs="Times New Roman"/>
          <w:color w:val="000000"/>
          <w:sz w:val="20"/>
        </w:rPr>
        <w:t xml:space="preserve">, and </w:t>
      </w:r>
      <w:r>
        <w:rPr>
          <w:rFonts w:ascii="Times New Roman" w:hAnsi="Times New Roman" w:cs="Times New Roman"/>
          <w:i/>
          <w:color w:val="000000"/>
          <w:sz w:val="20"/>
        </w:rPr>
        <w:t>resolving conflicts</w:t>
      </w:r>
      <w:r>
        <w:rPr>
          <w:rFonts w:ascii="Times New Roman" w:hAnsi="Times New Roman" w:cs="Times New Roman"/>
          <w:color w:val="000000"/>
          <w:sz w:val="20"/>
        </w:rPr>
        <w:t xml:space="preserve"> in support of the judgment.</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Shade Foods, Inc. v. Innovative Prods. Sales &amp; Mktg., Inc.</w:t>
      </w:r>
      <w:r>
        <w:rPr>
          <w:rFonts w:ascii="Times New Roman" w:hAnsi="Times New Roman" w:cs="Times New Roman"/>
          <w:color w:val="0000FF"/>
          <w:sz w:val="20"/>
        </w:rPr>
        <w:t xml:space="preserve"> (2000) 78 Cal.App. 4th 847, 891</w:t>
      </w:r>
      <w:r>
        <w:rPr>
          <w:rFonts w:ascii="Times New Roman" w:hAnsi="Times New Roman" w:cs="Times New Roman"/>
          <w:color w:val="000000"/>
          <w:sz w:val="20"/>
        </w:rPr>
        <w:t xml:space="preserve">.) We are mindful that in light of the heightened burden of proof under </w:t>
      </w:r>
      <w:r>
        <w:rPr>
          <w:rFonts w:ascii="Times New Roman" w:hAnsi="Times New Roman" w:cs="Times New Roman"/>
          <w:color w:val="0000FF"/>
          <w:sz w:val="20"/>
        </w:rPr>
        <w:t>Civil Code section 3294, subdivision (a)</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we must review the record in support of these findings in light of that burden. In other words, we must inquire whether the record contains </w:t>
      </w:r>
      <w:r>
        <w:rPr>
          <w:rFonts w:ascii="Times New Roman" w:hAnsi="Times New Roman" w:cs="Times New Roman"/>
          <w:color w:val="000000"/>
          <w:sz w:val="20"/>
        </w:rPr>
        <w:t>‘</w:t>
      </w:r>
      <w:r>
        <w:rPr>
          <w:rFonts w:ascii="Times New Roman" w:hAnsi="Times New Roman" w:cs="Times New Roman"/>
          <w:color w:val="000000"/>
          <w:sz w:val="20"/>
        </w:rPr>
        <w:t xml:space="preserve">substantial evidence to support a determination by clear and convincing </w:t>
      </w:r>
      <w:r>
        <w:rPr>
          <w:rFonts w:ascii="Times New Roman" w:hAnsi="Times New Roman" w:cs="Times New Roman"/>
          <w:color w:val="000000"/>
          <w:sz w:val="20"/>
        </w:rPr>
        <w:t>evidence.</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00"/>
          <w:sz w:val="20"/>
        </w:rPr>
        <w:t>Shade Foods</w:t>
      </w:r>
      <w:r>
        <w:rPr>
          <w:rFonts w:ascii="Times New Roman" w:hAnsi="Times New Roman" w:cs="Times New Roman"/>
          <w:color w:val="000000"/>
          <w:sz w:val="20"/>
        </w:rPr>
        <w:t xml:space="preserve">, at p. 891.) </w:t>
      </w:r>
      <w:r>
        <w:rPr>
          <w:rFonts w:ascii="Times New Roman" w:hAnsi="Times New Roman" w:cs="Times New Roman"/>
          <w:color w:val="000000"/>
          <w:sz w:val="20"/>
        </w:rPr>
        <w:t>“</w:t>
      </w:r>
      <w:r>
        <w:rPr>
          <w:rFonts w:ascii="Times New Roman" w:hAnsi="Times New Roman" w:cs="Times New Roman"/>
          <w:color w:val="000000"/>
          <w:sz w:val="20"/>
        </w:rPr>
        <w:t>However, as with any challenge to the sufficiency of the evidence, it is the appellant</w:t>
      </w:r>
      <w:r>
        <w:rPr>
          <w:rFonts w:ascii="Times New Roman" w:hAnsi="Times New Roman" w:cs="Times New Roman"/>
          <w:color w:val="000000"/>
          <w:sz w:val="20"/>
        </w:rPr>
        <w:t>’</w:t>
      </w:r>
      <w:r>
        <w:rPr>
          <w:rFonts w:ascii="Times New Roman" w:hAnsi="Times New Roman" w:cs="Times New Roman"/>
          <w:color w:val="000000"/>
          <w:sz w:val="20"/>
        </w:rPr>
        <w:t xml:space="preserve">s burden to set forth not just the facts in its favor, but all material evidence on the point.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Unless this is done the error i</w:t>
      </w:r>
      <w:r>
        <w:rPr>
          <w:rFonts w:ascii="Times New Roman" w:hAnsi="Times New Roman" w:cs="Times New Roman"/>
          <w:color w:val="000000"/>
          <w:sz w:val="20"/>
        </w:rPr>
        <w:t>s deemed to be waived.</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00"/>
          <w:sz w:val="20"/>
        </w:rPr>
        <w:t>Stewart</w:t>
      </w:r>
      <w:r>
        <w:rPr>
          <w:rFonts w:ascii="Times New Roman" w:hAnsi="Times New Roman" w:cs="Times New Roman"/>
          <w:color w:val="000000"/>
          <w:sz w:val="20"/>
        </w:rPr>
        <w:t>, at p. 34.)</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Although we do not go so far as to conclude that Monsanto has waived the issue, we conclude that it has not met its appellate burden to show error and that substantial evidence supports the award of puniti</w:t>
      </w:r>
      <w:r>
        <w:rPr>
          <w:rFonts w:ascii="Times New Roman" w:hAnsi="Times New Roman" w:cs="Times New Roman"/>
          <w:color w:val="000000"/>
          <w:sz w:val="20"/>
        </w:rPr>
        <w:t>ve damages. Johnson argued that Monsanto and its employees discounted legitimate questions surrounding glyphosate</w:t>
      </w:r>
      <w:r>
        <w:rPr>
          <w:rFonts w:ascii="Times New Roman" w:hAnsi="Times New Roman" w:cs="Times New Roman"/>
          <w:color w:val="000000"/>
          <w:sz w:val="20"/>
        </w:rPr>
        <w:t>’</w:t>
      </w:r>
      <w:r>
        <w:rPr>
          <w:rFonts w:ascii="Times New Roman" w:hAnsi="Times New Roman" w:cs="Times New Roman"/>
          <w:color w:val="000000"/>
          <w:sz w:val="20"/>
        </w:rPr>
        <w:t>s genotoxic effect, failed to conduct adequate studies, surreptitiously contributed to and promoted articles reporting on glyphosate</w:t>
      </w:r>
      <w:r>
        <w:rPr>
          <w:rFonts w:ascii="Times New Roman" w:hAnsi="Times New Roman" w:cs="Times New Roman"/>
          <w:color w:val="000000"/>
          <w:sz w:val="20"/>
        </w:rPr>
        <w:t>’</w:t>
      </w:r>
      <w:r>
        <w:rPr>
          <w:rFonts w:ascii="Times New Roman" w:hAnsi="Times New Roman" w:cs="Times New Roman"/>
          <w:color w:val="000000"/>
          <w:sz w:val="20"/>
        </w:rPr>
        <w:t>s safety,</w:t>
      </w:r>
      <w:r>
        <w:rPr>
          <w:rFonts w:ascii="Times New Roman" w:hAnsi="Times New Roman" w:cs="Times New Roman"/>
          <w:color w:val="000000"/>
          <w:sz w:val="20"/>
        </w:rPr>
        <w:t xml:space="preserve"> and lobbied regulators to conclude that glyphosate is safe. On appeal, the company first accurately summarizes the heavy burden a plaintiff must meet in order to establish punitive damages. But then, rather than focusing on the sufficiency of the evidence</w:t>
      </w:r>
      <w:r>
        <w:rPr>
          <w:rFonts w:ascii="Times New Roman" w:hAnsi="Times New Roman" w:cs="Times New Roman"/>
          <w:color w:val="000000"/>
          <w:sz w:val="20"/>
        </w:rPr>
        <w:t>, it raises legal points in criticizing the trial court for not adopting its tentative ruling.</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64" w:name="co_pp_sp_999_31_1"/>
      <w:bookmarkEnd w:id="64"/>
      <w:r>
        <w:rPr>
          <w:rFonts w:ascii="Times New Roman" w:hAnsi="Times New Roman" w:cs="Times New Roman"/>
          <w:b/>
          <w:color w:val="000000"/>
          <w:sz w:val="20"/>
        </w:rPr>
        <w:t>*31</w:t>
      </w:r>
      <w:r>
        <w:rPr>
          <w:rFonts w:ascii="Times New Roman" w:hAnsi="Times New Roman" w:cs="Times New Roman"/>
          <w:color w:val="000000"/>
          <w:sz w:val="20"/>
        </w:rPr>
        <w:t xml:space="preserve"> For example, Monsanto criticizes the trial court</w:t>
      </w:r>
      <w:r>
        <w:rPr>
          <w:rFonts w:ascii="Times New Roman" w:hAnsi="Times New Roman" w:cs="Times New Roman"/>
          <w:color w:val="000000"/>
          <w:sz w:val="20"/>
        </w:rPr>
        <w:t>’</w:t>
      </w:r>
      <w:r>
        <w:rPr>
          <w:rFonts w:ascii="Times New Roman" w:hAnsi="Times New Roman" w:cs="Times New Roman"/>
          <w:color w:val="000000"/>
          <w:sz w:val="20"/>
        </w:rPr>
        <w:t xml:space="preserve">s final order for noting, </w:t>
      </w:r>
      <w:r>
        <w:rPr>
          <w:rFonts w:ascii="Times New Roman" w:hAnsi="Times New Roman" w:cs="Times New Roman"/>
          <w:color w:val="000000"/>
          <w:sz w:val="20"/>
        </w:rPr>
        <w:t>“</w:t>
      </w:r>
      <w:r>
        <w:rPr>
          <w:rFonts w:ascii="Times New Roman" w:hAnsi="Times New Roman" w:cs="Times New Roman"/>
          <w:color w:val="000000"/>
          <w:sz w:val="20"/>
        </w:rPr>
        <w:t>Punitive damages have been upheld where a def</w:t>
      </w:r>
      <w:r>
        <w:rPr>
          <w:rFonts w:ascii="Times New Roman" w:hAnsi="Times New Roman" w:cs="Times New Roman"/>
          <w:color w:val="000000"/>
          <w:sz w:val="20"/>
        </w:rPr>
        <w:t>endant has failed to conduct adequate testing on a product,</w:t>
      </w:r>
      <w:r>
        <w:rPr>
          <w:rFonts w:ascii="Times New Roman" w:hAnsi="Times New Roman" w:cs="Times New Roman"/>
          <w:color w:val="000000"/>
          <w:sz w:val="20"/>
        </w:rPr>
        <w:t>”</w:t>
      </w:r>
      <w:r>
        <w:rPr>
          <w:rFonts w:ascii="Times New Roman" w:hAnsi="Times New Roman" w:cs="Times New Roman"/>
          <w:color w:val="000000"/>
          <w:sz w:val="20"/>
        </w:rPr>
        <w:t xml:space="preserve"> and citing </w:t>
      </w:r>
      <w:r>
        <w:rPr>
          <w:rFonts w:ascii="Times New Roman" w:hAnsi="Times New Roman" w:cs="Times New Roman"/>
          <w:i/>
          <w:color w:val="0000FF"/>
          <w:sz w:val="20"/>
        </w:rPr>
        <w:t>West v. Johnson &amp; Johnson Products, Inc.</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174 Cal.App.3d at page 869</w:t>
      </w:r>
      <w:r>
        <w:rPr>
          <w:rFonts w:ascii="Times New Roman" w:hAnsi="Times New Roman" w:cs="Times New Roman"/>
          <w:color w:val="000000"/>
          <w:sz w:val="20"/>
        </w:rPr>
        <w:t xml:space="preserve">. In upholding the award of punitive damages in </w:t>
      </w:r>
      <w:r>
        <w:rPr>
          <w:rFonts w:ascii="Times New Roman" w:hAnsi="Times New Roman" w:cs="Times New Roman"/>
          <w:i/>
          <w:color w:val="000000"/>
          <w:sz w:val="20"/>
        </w:rPr>
        <w:t>West</w:t>
      </w:r>
      <w:r>
        <w:rPr>
          <w:rFonts w:ascii="Times New Roman" w:hAnsi="Times New Roman" w:cs="Times New Roman"/>
          <w:color w:val="000000"/>
          <w:sz w:val="20"/>
        </w:rPr>
        <w:t xml:space="preserve"> to a woman who suffered TSS from using defendant</w:t>
      </w:r>
      <w:r>
        <w:rPr>
          <w:rFonts w:ascii="Times New Roman" w:hAnsi="Times New Roman" w:cs="Times New Roman"/>
          <w:color w:val="000000"/>
          <w:sz w:val="20"/>
        </w:rPr>
        <w:t>’</w:t>
      </w:r>
      <w:r>
        <w:rPr>
          <w:rFonts w:ascii="Times New Roman" w:hAnsi="Times New Roman" w:cs="Times New Roman"/>
          <w:color w:val="000000"/>
          <w:sz w:val="20"/>
        </w:rPr>
        <w:t>s tampo</w:t>
      </w:r>
      <w:r>
        <w:rPr>
          <w:rFonts w:ascii="Times New Roman" w:hAnsi="Times New Roman" w:cs="Times New Roman"/>
          <w:color w:val="000000"/>
          <w:sz w:val="20"/>
        </w:rPr>
        <w:t>ns, the appellate court noted that defendant</w:t>
      </w:r>
      <w:r>
        <w:rPr>
          <w:rFonts w:ascii="Times New Roman" w:hAnsi="Times New Roman" w:cs="Times New Roman"/>
          <w:color w:val="000000"/>
          <w:sz w:val="20"/>
        </w:rPr>
        <w:t>’</w:t>
      </w:r>
      <w:r>
        <w:rPr>
          <w:rFonts w:ascii="Times New Roman" w:hAnsi="Times New Roman" w:cs="Times New Roman"/>
          <w:color w:val="000000"/>
          <w:sz w:val="20"/>
        </w:rPr>
        <w:t>s product testing had been inadequate both before the tampons were marketed and after the company began receiving complaints about them. (</w:t>
      </w:r>
      <w:r>
        <w:rPr>
          <w:rFonts w:ascii="Times New Roman" w:hAnsi="Times New Roman" w:cs="Times New Roman"/>
          <w:i/>
          <w:color w:val="0000FF"/>
          <w:sz w:val="20"/>
        </w:rPr>
        <w:t>Id.</w:t>
      </w:r>
      <w:r>
        <w:rPr>
          <w:rFonts w:ascii="Times New Roman" w:hAnsi="Times New Roman" w:cs="Times New Roman"/>
          <w:color w:val="0000FF"/>
          <w:sz w:val="20"/>
        </w:rPr>
        <w:t xml:space="preserve"> at pp. 841, 843, 869</w:t>
      </w:r>
      <w:r>
        <w:rPr>
          <w:rFonts w:ascii="Times New Roman" w:hAnsi="Times New Roman" w:cs="Times New Roman"/>
          <w:color w:val="000000"/>
          <w:sz w:val="20"/>
        </w:rPr>
        <w:t>.) Because adequate testing would have revealed a</w:t>
      </w:r>
      <w:r>
        <w:rPr>
          <w:rFonts w:ascii="Times New Roman" w:hAnsi="Times New Roman" w:cs="Times New Roman"/>
          <w:color w:val="000000"/>
          <w:sz w:val="20"/>
        </w:rPr>
        <w:t xml:space="preserve">n </w:t>
      </w:r>
      <w:r>
        <w:rPr>
          <w:rFonts w:ascii="Times New Roman" w:hAnsi="Times New Roman" w:cs="Times New Roman"/>
          <w:color w:val="000000"/>
          <w:sz w:val="20"/>
        </w:rPr>
        <w:lastRenderedPageBreak/>
        <w:t xml:space="preserve">association between tampon use and infection, there was substantial evidence that defendant had acted </w:t>
      </w:r>
      <w:r>
        <w:rPr>
          <w:rFonts w:ascii="Times New Roman" w:hAnsi="Times New Roman" w:cs="Times New Roman"/>
          <w:color w:val="000000"/>
          <w:sz w:val="20"/>
        </w:rPr>
        <w:t>“</w:t>
      </w:r>
      <w:r>
        <w:rPr>
          <w:rFonts w:ascii="Times New Roman" w:hAnsi="Times New Roman" w:cs="Times New Roman"/>
          <w:color w:val="000000"/>
          <w:sz w:val="20"/>
        </w:rPr>
        <w:t>in conscious disregard of the safety of others.</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Id.</w:t>
      </w:r>
      <w:r>
        <w:rPr>
          <w:rFonts w:ascii="Times New Roman" w:hAnsi="Times New Roman" w:cs="Times New Roman"/>
          <w:color w:val="0000FF"/>
          <w:sz w:val="20"/>
        </w:rPr>
        <w:t xml:space="preserve"> at p. 869</w:t>
      </w:r>
      <w:r>
        <w:rPr>
          <w:rFonts w:ascii="Times New Roman" w:hAnsi="Times New Roman" w:cs="Times New Roman"/>
          <w:color w:val="000000"/>
          <w:sz w:val="20"/>
        </w:rPr>
        <w:t xml:space="preserve">.) Monsanto suggests that this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failure to test</w:t>
      </w:r>
      <w:r>
        <w:rPr>
          <w:rFonts w:ascii="Times New Roman" w:hAnsi="Times New Roman" w:cs="Times New Roman"/>
          <w:color w:val="000000"/>
          <w:sz w:val="20"/>
        </w:rPr>
        <w:t>’</w:t>
      </w:r>
      <w:r>
        <w:rPr>
          <w:rFonts w:ascii="Times New Roman" w:hAnsi="Times New Roman" w:cs="Times New Roman"/>
          <w:color w:val="000000"/>
          <w:sz w:val="20"/>
        </w:rPr>
        <w:t xml:space="preserve"> theory</w:t>
      </w:r>
      <w:r>
        <w:rPr>
          <w:rFonts w:ascii="Times New Roman" w:hAnsi="Times New Roman" w:cs="Times New Roman"/>
          <w:color w:val="000000"/>
          <w:sz w:val="20"/>
        </w:rPr>
        <w:t>”</w:t>
      </w:r>
      <w:r>
        <w:rPr>
          <w:rFonts w:ascii="Times New Roman" w:hAnsi="Times New Roman" w:cs="Times New Roman"/>
          <w:color w:val="000000"/>
          <w:sz w:val="20"/>
        </w:rPr>
        <w:t xml:space="preserve"> is no longer valid because </w:t>
      </w:r>
      <w:r>
        <w:rPr>
          <w:rFonts w:ascii="Times New Roman" w:hAnsi="Times New Roman" w:cs="Times New Roman"/>
          <w:i/>
          <w:color w:val="000000"/>
          <w:sz w:val="20"/>
        </w:rPr>
        <w:t>We</w:t>
      </w:r>
      <w:r>
        <w:rPr>
          <w:rFonts w:ascii="Times New Roman" w:hAnsi="Times New Roman" w:cs="Times New Roman"/>
          <w:i/>
          <w:color w:val="000000"/>
          <w:sz w:val="20"/>
        </w:rPr>
        <w:t>st</w:t>
      </w:r>
      <w:r>
        <w:rPr>
          <w:rFonts w:ascii="Times New Roman" w:hAnsi="Times New Roman" w:cs="Times New Roman"/>
          <w:color w:val="000000"/>
          <w:sz w:val="20"/>
        </w:rPr>
        <w:t xml:space="preserve"> was decided before the definition of </w:t>
      </w:r>
      <w:r>
        <w:rPr>
          <w:rFonts w:ascii="Times New Roman" w:hAnsi="Times New Roman" w:cs="Times New Roman"/>
          <w:color w:val="000000"/>
          <w:sz w:val="20"/>
        </w:rPr>
        <w:t>“</w:t>
      </w:r>
      <w:r>
        <w:rPr>
          <w:rFonts w:ascii="Times New Roman" w:hAnsi="Times New Roman" w:cs="Times New Roman"/>
          <w:color w:val="000000"/>
          <w:sz w:val="20"/>
        </w:rPr>
        <w:t>malice</w:t>
      </w:r>
      <w:r>
        <w:rPr>
          <w:rFonts w:ascii="Times New Roman" w:hAnsi="Times New Roman" w:cs="Times New Roman"/>
          <w:color w:val="000000"/>
          <w:sz w:val="20"/>
        </w:rPr>
        <w:t>”</w:t>
      </w:r>
      <w:r>
        <w:rPr>
          <w:rFonts w:ascii="Times New Roman" w:hAnsi="Times New Roman" w:cs="Times New Roman"/>
          <w:color w:val="000000"/>
          <w:sz w:val="20"/>
        </w:rPr>
        <w:t xml:space="preserve"> required for punitive damages was amended to add the terms </w:t>
      </w:r>
      <w:r>
        <w:rPr>
          <w:rFonts w:ascii="Times New Roman" w:hAnsi="Times New Roman" w:cs="Times New Roman"/>
          <w:color w:val="000000"/>
          <w:sz w:val="20"/>
        </w:rPr>
        <w:t>“</w:t>
      </w:r>
      <w:r>
        <w:rPr>
          <w:rFonts w:ascii="Times New Roman" w:hAnsi="Times New Roman" w:cs="Times New Roman"/>
          <w:color w:val="000000"/>
          <w:sz w:val="20"/>
        </w:rPr>
        <w:t>despicable</w:t>
      </w:r>
      <w:r>
        <w:rPr>
          <w:rFonts w:ascii="Times New Roman" w:hAnsi="Times New Roman" w:cs="Times New Roman"/>
          <w:color w:val="000000"/>
          <w:sz w:val="20"/>
        </w:rPr>
        <w:t>”</w:t>
      </w:r>
      <w:r>
        <w:rPr>
          <w:rFonts w:ascii="Times New Roman" w:hAnsi="Times New Roman" w:cs="Times New Roman"/>
          <w:color w:val="000000"/>
          <w:sz w:val="20"/>
        </w:rPr>
        <w:t xml:space="preserve"> and </w:t>
      </w:r>
      <w:r>
        <w:rPr>
          <w:rFonts w:ascii="Times New Roman" w:hAnsi="Times New Roman" w:cs="Times New Roman"/>
          <w:color w:val="000000"/>
          <w:sz w:val="20"/>
        </w:rPr>
        <w:t>“</w:t>
      </w:r>
      <w:r>
        <w:rPr>
          <w:rFonts w:ascii="Times New Roman" w:hAnsi="Times New Roman" w:cs="Times New Roman"/>
          <w:color w:val="000000"/>
          <w:sz w:val="20"/>
        </w:rPr>
        <w:t>willful.</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FF"/>
          <w:sz w:val="20"/>
        </w:rPr>
        <w:t>Civ. Code, § 3294, subd. (c)(1)</w:t>
      </w:r>
      <w:r>
        <w:rPr>
          <w:rFonts w:ascii="Times New Roman" w:hAnsi="Times New Roman" w:cs="Times New Roman"/>
          <w:color w:val="000000"/>
          <w:sz w:val="20"/>
        </w:rPr>
        <w:t xml:space="preserve">; see Historical and Statutory Notes, 12 </w:t>
      </w:r>
      <w:r>
        <w:rPr>
          <w:rFonts w:ascii="Times New Roman" w:hAnsi="Times New Roman" w:cs="Times New Roman"/>
          <w:color w:val="0000FF"/>
          <w:sz w:val="20"/>
        </w:rPr>
        <w:t>West</w:t>
      </w:r>
      <w:r>
        <w:rPr>
          <w:rFonts w:ascii="Times New Roman" w:hAnsi="Times New Roman" w:cs="Times New Roman"/>
          <w:color w:val="0000FF"/>
          <w:sz w:val="20"/>
        </w:rPr>
        <w:t>’</w:t>
      </w:r>
      <w:r>
        <w:rPr>
          <w:rFonts w:ascii="Times New Roman" w:hAnsi="Times New Roman" w:cs="Times New Roman"/>
          <w:color w:val="0000FF"/>
          <w:sz w:val="20"/>
        </w:rPr>
        <w:t>s Ann. Civ. Code (2016 ed.) foll. § 3294</w:t>
      </w:r>
      <w:r>
        <w:rPr>
          <w:rFonts w:ascii="Times New Roman" w:hAnsi="Times New Roman" w:cs="Times New Roman"/>
          <w:color w:val="000000"/>
          <w:sz w:val="20"/>
        </w:rPr>
        <w:t xml:space="preserve">, </w:t>
      </w:r>
      <w:r>
        <w:rPr>
          <w:rFonts w:ascii="Times New Roman" w:hAnsi="Times New Roman" w:cs="Times New Roman"/>
          <w:color w:val="000000"/>
          <w:sz w:val="20"/>
        </w:rPr>
        <w:t>p. 160.) And Monsanto stresses that a plaintiff must show more than negligence to recover punitive damages and instead must show that a defendant willfully and consciously ignored the dangers inherent in a product</w:t>
      </w:r>
      <w:r>
        <w:rPr>
          <w:rFonts w:ascii="Times New Roman" w:hAnsi="Times New Roman" w:cs="Times New Roman"/>
          <w:color w:val="000000"/>
          <w:sz w:val="20"/>
        </w:rPr>
        <w:t>’</w:t>
      </w:r>
      <w:r>
        <w:rPr>
          <w:rFonts w:ascii="Times New Roman" w:hAnsi="Times New Roman" w:cs="Times New Roman"/>
          <w:color w:val="000000"/>
          <w:sz w:val="20"/>
        </w:rPr>
        <w:t xml:space="preserve">s design. (E.g., </w:t>
      </w:r>
      <w:r>
        <w:rPr>
          <w:rFonts w:ascii="Times New Roman" w:hAnsi="Times New Roman" w:cs="Times New Roman"/>
          <w:i/>
          <w:color w:val="000000"/>
          <w:sz w:val="20"/>
        </w:rPr>
        <w:t>Butte Fire Cases</w:t>
      </w:r>
      <w:r>
        <w:rPr>
          <w:rFonts w:ascii="Times New Roman" w:hAnsi="Times New Roman" w:cs="Times New Roman"/>
          <w:color w:val="000000"/>
          <w:sz w:val="20"/>
        </w:rPr>
        <w:t xml:space="preserve"> </w:t>
      </w:r>
      <w:r>
        <w:rPr>
          <w:rFonts w:ascii="Times New Roman" w:hAnsi="Times New Roman" w:cs="Times New Roman"/>
          <w:color w:val="0000FF"/>
          <w:sz w:val="20"/>
        </w:rPr>
        <w:t>(2018) 2</w:t>
      </w:r>
      <w:r>
        <w:rPr>
          <w:rFonts w:ascii="Times New Roman" w:hAnsi="Times New Roman" w:cs="Times New Roman"/>
          <w:color w:val="0000FF"/>
          <w:sz w:val="20"/>
        </w:rPr>
        <w:t>4 Cal.App.5th 1150, 1159</w:t>
      </w:r>
      <w:r>
        <w:rPr>
          <w:rFonts w:ascii="Times New Roman" w:hAnsi="Times New Roman" w:cs="Times New Roman"/>
          <w:color w:val="0000FF"/>
          <w:sz w:val="20"/>
        </w:rPr>
        <w:t>–</w:t>
      </w:r>
      <w:r>
        <w:rPr>
          <w:rFonts w:ascii="Times New Roman" w:hAnsi="Times New Roman" w:cs="Times New Roman"/>
          <w:color w:val="0000FF"/>
          <w:sz w:val="20"/>
        </w:rPr>
        <w:t>1161, 1172</w:t>
      </w:r>
      <w:r>
        <w:rPr>
          <w:rFonts w:ascii="Times New Roman" w:hAnsi="Times New Roman" w:cs="Times New Roman"/>
          <w:color w:val="0000FF"/>
          <w:sz w:val="20"/>
        </w:rPr>
        <w:t>–</w:t>
      </w:r>
      <w:r>
        <w:rPr>
          <w:rFonts w:ascii="Times New Roman" w:hAnsi="Times New Roman" w:cs="Times New Roman"/>
          <w:color w:val="0000FF"/>
          <w:sz w:val="20"/>
        </w:rPr>
        <w:t>1173</w:t>
      </w:r>
      <w:r>
        <w:rPr>
          <w:rFonts w:ascii="Times New Roman" w:hAnsi="Times New Roman" w:cs="Times New Roman"/>
          <w:color w:val="000000"/>
          <w:sz w:val="20"/>
        </w:rPr>
        <w:t>.) But while Monsanto correctly summarizes the current standard, the jury was instructed on this standard and we see no reason to conclude that the jury failed to apply it.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Monsanto also challenges the trial court</w:t>
      </w:r>
      <w:r>
        <w:rPr>
          <w:rFonts w:ascii="Times New Roman" w:hAnsi="Times New Roman" w:cs="Times New Roman"/>
          <w:color w:val="000000"/>
          <w:sz w:val="20"/>
        </w:rPr>
        <w:t>’</w:t>
      </w:r>
      <w:r>
        <w:rPr>
          <w:rFonts w:ascii="Times New Roman" w:hAnsi="Times New Roman" w:cs="Times New Roman"/>
          <w:color w:val="000000"/>
          <w:sz w:val="20"/>
        </w:rPr>
        <w:t xml:space="preserve">s statement that </w:t>
      </w:r>
      <w:r>
        <w:rPr>
          <w:rFonts w:ascii="Times New Roman" w:hAnsi="Times New Roman" w:cs="Times New Roman"/>
          <w:color w:val="000000"/>
          <w:sz w:val="20"/>
        </w:rPr>
        <w:t>“</w:t>
      </w:r>
      <w:r>
        <w:rPr>
          <w:rFonts w:ascii="Times New Roman" w:hAnsi="Times New Roman" w:cs="Times New Roman"/>
          <w:color w:val="000000"/>
          <w:sz w:val="20"/>
        </w:rPr>
        <w:t xml:space="preserve">[p]unitive damages have also been upheld where </w:t>
      </w:r>
      <w:r>
        <w:rPr>
          <w:rFonts w:ascii="Times New Roman" w:hAnsi="Times New Roman" w:cs="Times New Roman"/>
          <w:color w:val="000000"/>
          <w:sz w:val="20"/>
        </w:rPr>
        <w:t>‘</w:t>
      </w:r>
      <w:r>
        <w:rPr>
          <w:rFonts w:ascii="Times New Roman" w:hAnsi="Times New Roman" w:cs="Times New Roman"/>
          <w:color w:val="000000"/>
          <w:sz w:val="20"/>
        </w:rPr>
        <w:t xml:space="preserve">there was a </w:t>
      </w:r>
      <w:r>
        <w:rPr>
          <w:rFonts w:ascii="Times New Roman" w:hAnsi="Times New Roman" w:cs="Times New Roman"/>
          <w:color w:val="000000"/>
          <w:sz w:val="20"/>
        </w:rPr>
        <w:t>“</w:t>
      </w:r>
      <w:r>
        <w:rPr>
          <w:rFonts w:ascii="Times New Roman" w:hAnsi="Times New Roman" w:cs="Times New Roman"/>
          <w:color w:val="000000"/>
          <w:sz w:val="20"/>
        </w:rPr>
        <w:t>reasonable disagreement</w:t>
      </w:r>
      <w:r>
        <w:rPr>
          <w:rFonts w:ascii="Times New Roman" w:hAnsi="Times New Roman" w:cs="Times New Roman"/>
          <w:color w:val="000000"/>
          <w:sz w:val="20"/>
        </w:rPr>
        <w:t>”</w:t>
      </w:r>
      <w:r>
        <w:rPr>
          <w:rFonts w:ascii="Times New Roman" w:hAnsi="Times New Roman" w:cs="Times New Roman"/>
          <w:color w:val="000000"/>
          <w:sz w:val="20"/>
        </w:rPr>
        <w:t xml:space="preserve"> among experts,</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 citing </w:t>
      </w:r>
      <w:r>
        <w:rPr>
          <w:rFonts w:ascii="Times New Roman" w:hAnsi="Times New Roman" w:cs="Times New Roman"/>
          <w:i/>
          <w:color w:val="0000FF"/>
          <w:sz w:val="20"/>
        </w:rPr>
        <w:t>Buell-Wilson v. Ford Motor Co.</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141 Cal.App.4th at pages 559</w:t>
      </w:r>
      <w:r>
        <w:rPr>
          <w:rFonts w:ascii="Times New Roman" w:hAnsi="Times New Roman" w:cs="Times New Roman"/>
          <w:color w:val="0000FF"/>
          <w:sz w:val="20"/>
        </w:rPr>
        <w:t>–</w:t>
      </w:r>
      <w:r>
        <w:rPr>
          <w:rFonts w:ascii="Times New Roman" w:hAnsi="Times New Roman" w:cs="Times New Roman"/>
          <w:color w:val="0000FF"/>
          <w:sz w:val="20"/>
        </w:rPr>
        <w:t>560</w:t>
      </w:r>
      <w:r>
        <w:rPr>
          <w:rFonts w:ascii="Times New Roman" w:hAnsi="Times New Roman" w:cs="Times New Roman"/>
          <w:color w:val="000000"/>
          <w:sz w:val="20"/>
        </w:rPr>
        <w:t xml:space="preserve">. Monsanto repeats its claim that </w:t>
      </w:r>
      <w:r>
        <w:rPr>
          <w:rFonts w:ascii="Times New Roman" w:hAnsi="Times New Roman" w:cs="Times New Roman"/>
          <w:color w:val="000000"/>
          <w:sz w:val="20"/>
        </w:rPr>
        <w:t>“</w:t>
      </w:r>
      <w:r>
        <w:rPr>
          <w:rFonts w:ascii="Times New Roman" w:hAnsi="Times New Roman" w:cs="Times New Roman"/>
          <w:color w:val="000000"/>
          <w:sz w:val="20"/>
        </w:rPr>
        <w:t>the overwhelming cons</w:t>
      </w:r>
      <w:r>
        <w:rPr>
          <w:rFonts w:ascii="Times New Roman" w:hAnsi="Times New Roman" w:cs="Times New Roman"/>
          <w:color w:val="000000"/>
          <w:sz w:val="20"/>
        </w:rPr>
        <w:t>ensus of independent, expert regulators is that exposure to glyphosate does not pose a carcinogenic risk to humans.</w:t>
      </w:r>
      <w:r>
        <w:rPr>
          <w:rFonts w:ascii="Times New Roman" w:hAnsi="Times New Roman" w:cs="Times New Roman"/>
          <w:color w:val="000000"/>
          <w:sz w:val="20"/>
        </w:rPr>
        <w:t>”</w:t>
      </w:r>
      <w:r>
        <w:rPr>
          <w:rFonts w:ascii="Times New Roman" w:hAnsi="Times New Roman" w:cs="Times New Roman"/>
          <w:color w:val="000000"/>
          <w:sz w:val="20"/>
        </w:rPr>
        <w:t xml:space="preserve"> Again, the jury rejected the notion that there is </w:t>
      </w:r>
      <w:r>
        <w:rPr>
          <w:rFonts w:ascii="Times New Roman" w:hAnsi="Times New Roman" w:cs="Times New Roman"/>
          <w:color w:val="000000"/>
          <w:sz w:val="20"/>
        </w:rPr>
        <w:t>“</w:t>
      </w:r>
      <w:r>
        <w:rPr>
          <w:rFonts w:ascii="Times New Roman" w:hAnsi="Times New Roman" w:cs="Times New Roman"/>
          <w:color w:val="000000"/>
          <w:sz w:val="20"/>
        </w:rPr>
        <w:t>consensus</w:t>
      </w:r>
      <w:r>
        <w:rPr>
          <w:rFonts w:ascii="Times New Roman" w:hAnsi="Times New Roman" w:cs="Times New Roman"/>
          <w:color w:val="000000"/>
          <w:sz w:val="20"/>
        </w:rPr>
        <w:t>”</w:t>
      </w:r>
      <w:r>
        <w:rPr>
          <w:rFonts w:ascii="Times New Roman" w:hAnsi="Times New Roman" w:cs="Times New Roman"/>
          <w:color w:val="000000"/>
          <w:sz w:val="20"/>
        </w:rPr>
        <w:t xml:space="preserve"> on this point, and it is not our role to reweigh the evidence in support of p</w:t>
      </w:r>
      <w:r>
        <w:rPr>
          <w:rFonts w:ascii="Times New Roman" w:hAnsi="Times New Roman" w:cs="Times New Roman"/>
          <w:color w:val="000000"/>
          <w:sz w:val="20"/>
        </w:rPr>
        <w:t>unitive damages.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Although the jury could have accepted Monsanto</w:t>
      </w:r>
      <w:r>
        <w:rPr>
          <w:rFonts w:ascii="Times New Roman" w:hAnsi="Times New Roman" w:cs="Times New Roman"/>
          <w:color w:val="000000"/>
          <w:sz w:val="20"/>
        </w:rPr>
        <w:t>’</w:t>
      </w:r>
      <w:r>
        <w:rPr>
          <w:rFonts w:ascii="Times New Roman" w:hAnsi="Times New Roman" w:cs="Times New Roman"/>
          <w:color w:val="000000"/>
          <w:sz w:val="20"/>
        </w:rPr>
        <w:t xml:space="preserve">s characterization of its conduct as simply demonstrating advocacy for a </w:t>
      </w:r>
      <w:r>
        <w:rPr>
          <w:rFonts w:ascii="Times New Roman" w:hAnsi="Times New Roman" w:cs="Times New Roman"/>
          <w:color w:val="000000"/>
          <w:sz w:val="20"/>
        </w:rPr>
        <w:t>“</w:t>
      </w:r>
      <w:r>
        <w:rPr>
          <w:rFonts w:ascii="Times New Roman" w:hAnsi="Times New Roman" w:cs="Times New Roman"/>
          <w:color w:val="000000"/>
          <w:sz w:val="20"/>
        </w:rPr>
        <w:t>well-supported belief that its products were safe,</w:t>
      </w:r>
      <w:r>
        <w:rPr>
          <w:rFonts w:ascii="Times New Roman" w:hAnsi="Times New Roman" w:cs="Times New Roman"/>
          <w:color w:val="000000"/>
          <w:sz w:val="20"/>
        </w:rPr>
        <w:t>”</w:t>
      </w:r>
      <w:r>
        <w:rPr>
          <w:rFonts w:ascii="Times New Roman" w:hAnsi="Times New Roman" w:cs="Times New Roman"/>
          <w:color w:val="000000"/>
          <w:sz w:val="20"/>
        </w:rPr>
        <w:t xml:space="preserve"> we reject the argument that the jury was required to do so. To b</w:t>
      </w:r>
      <w:r>
        <w:rPr>
          <w:rFonts w:ascii="Times New Roman" w:hAnsi="Times New Roman" w:cs="Times New Roman"/>
          <w:color w:val="000000"/>
          <w:sz w:val="20"/>
        </w:rPr>
        <w:t>egin with, substantial evidence was presented from which the jury could infer that Monsanto acted with a conscious disregard for public safety by discounting legitimate questions surrounding glyphosate</w:t>
      </w:r>
      <w:r>
        <w:rPr>
          <w:rFonts w:ascii="Times New Roman" w:hAnsi="Times New Roman" w:cs="Times New Roman"/>
          <w:color w:val="000000"/>
          <w:sz w:val="20"/>
        </w:rPr>
        <w:t>’</w:t>
      </w:r>
      <w:r>
        <w:rPr>
          <w:rFonts w:ascii="Times New Roman" w:hAnsi="Times New Roman" w:cs="Times New Roman"/>
          <w:color w:val="000000"/>
          <w:sz w:val="20"/>
        </w:rPr>
        <w:t>s genotoxic effect and failing to conduct adequate stu</w:t>
      </w:r>
      <w:r>
        <w:rPr>
          <w:rFonts w:ascii="Times New Roman" w:hAnsi="Times New Roman" w:cs="Times New Roman"/>
          <w:color w:val="000000"/>
          <w:sz w:val="20"/>
        </w:rPr>
        <w:t xml:space="preserve">dies. Johnson presented evidence that in 1983 a study showed a causal association between glyphosate and </w:t>
      </w:r>
      <w:r>
        <w:rPr>
          <w:rFonts w:ascii="Times New Roman" w:hAnsi="Times New Roman" w:cs="Times New Roman"/>
          <w:color w:val="0000FF"/>
          <w:sz w:val="20"/>
        </w:rPr>
        <w:t>kidney tumors</w:t>
      </w:r>
      <w:r>
        <w:rPr>
          <w:rFonts w:ascii="Times New Roman" w:hAnsi="Times New Roman" w:cs="Times New Roman"/>
          <w:color w:val="000000"/>
          <w:sz w:val="20"/>
        </w:rPr>
        <w:t xml:space="preserve"> in male mice. The EPA drafted a determination that glyphosate was a possible carcinogen. Monsanto objected to the draft, sought and obtai</w:t>
      </w:r>
      <w:r>
        <w:rPr>
          <w:rFonts w:ascii="Times New Roman" w:hAnsi="Times New Roman" w:cs="Times New Roman"/>
          <w:color w:val="000000"/>
          <w:sz w:val="20"/>
        </w:rPr>
        <w:t xml:space="preserve">ned permission to reexamine the tested kidneys, and found an undiscovered tumor in the control group. Based on this discovery, Monsanto questioned the validity of the study, and the EPA recommended that a new one be conducted. The EPA designed a new mouse </w:t>
      </w:r>
      <w:r>
        <w:rPr>
          <w:rFonts w:ascii="Times New Roman" w:hAnsi="Times New Roman" w:cs="Times New Roman"/>
          <w:color w:val="000000"/>
          <w:sz w:val="20"/>
        </w:rPr>
        <w:t xml:space="preserve">study in consultation with Monsanto, but Monsanto did not conduct the study. Monsanto stated in a document dated March 13, 1985, that </w:t>
      </w:r>
      <w:r>
        <w:rPr>
          <w:rFonts w:ascii="Times New Roman" w:hAnsi="Times New Roman" w:cs="Times New Roman"/>
          <w:color w:val="000000"/>
          <w:sz w:val="20"/>
        </w:rPr>
        <w:t>“</w:t>
      </w:r>
      <w:r>
        <w:rPr>
          <w:rFonts w:ascii="Times New Roman" w:hAnsi="Times New Roman" w:cs="Times New Roman"/>
          <w:color w:val="000000"/>
          <w:sz w:val="20"/>
        </w:rPr>
        <w:t>Monsanto is concerned that even the initiation of formal regulatory action would have serious negative economic repercuss</w:t>
      </w:r>
      <w:r>
        <w:rPr>
          <w:rFonts w:ascii="Times New Roman" w:hAnsi="Times New Roman" w:cs="Times New Roman"/>
          <w:color w:val="000000"/>
          <w:sz w:val="20"/>
        </w:rPr>
        <w:t xml:space="preserve">ions, which we believe are not </w:t>
      </w:r>
      <w:r>
        <w:rPr>
          <w:rFonts w:ascii="Times New Roman" w:hAnsi="Times New Roman" w:cs="Times New Roman"/>
          <w:color w:val="000000"/>
          <w:sz w:val="20"/>
        </w:rPr>
        <w:t>justified by the scientific evidence.</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Studies conducted by others in 1993 and 1997 also showed a link between glyphosate and tumors in mice. And in 1999, a </w:t>
      </w:r>
      <w:r>
        <w:rPr>
          <w:rFonts w:ascii="Times New Roman" w:hAnsi="Times New Roman" w:cs="Times New Roman"/>
          <w:color w:val="0000FF"/>
          <w:sz w:val="20"/>
        </w:rPr>
        <w:t>genotoxicity</w:t>
      </w:r>
      <w:r>
        <w:rPr>
          <w:rFonts w:ascii="Times New Roman" w:hAnsi="Times New Roman" w:cs="Times New Roman"/>
          <w:color w:val="000000"/>
          <w:sz w:val="20"/>
        </w:rPr>
        <w:t xml:space="preserve"> expert recommended to Monsanto that further tests be </w:t>
      </w:r>
      <w:r>
        <w:rPr>
          <w:rFonts w:ascii="Times New Roman" w:hAnsi="Times New Roman" w:cs="Times New Roman"/>
          <w:color w:val="000000"/>
          <w:sz w:val="20"/>
        </w:rPr>
        <w:t>conducted. As we have mentioned, one disputed issue at trial, and which the parties continue to debate, is whether all of these tests were conducted and done adequately. Monsanto maintains that it conducted all but one of the recommended tests, and cites t</w:t>
      </w:r>
      <w:r>
        <w:rPr>
          <w:rFonts w:ascii="Times New Roman" w:hAnsi="Times New Roman" w:cs="Times New Roman"/>
          <w:color w:val="000000"/>
          <w:sz w:val="20"/>
        </w:rPr>
        <w:t>o the testimony of a Monsanto employee who said the studies were done in a Monsanto lab instead of the independent expert</w:t>
      </w:r>
      <w:r>
        <w:rPr>
          <w:rFonts w:ascii="Times New Roman" w:hAnsi="Times New Roman" w:cs="Times New Roman"/>
          <w:color w:val="000000"/>
          <w:sz w:val="20"/>
        </w:rPr>
        <w:t>’</w:t>
      </w:r>
      <w:r>
        <w:rPr>
          <w:rFonts w:ascii="Times New Roman" w:hAnsi="Times New Roman" w:cs="Times New Roman"/>
          <w:color w:val="000000"/>
          <w:sz w:val="20"/>
        </w:rPr>
        <w:t xml:space="preserve">s lab. And Monsanto contends that after it conducted the tests, the independent expert </w:t>
      </w:r>
      <w:r>
        <w:rPr>
          <w:rFonts w:ascii="Times New Roman" w:hAnsi="Times New Roman" w:cs="Times New Roman"/>
          <w:color w:val="000000"/>
          <w:sz w:val="20"/>
        </w:rPr>
        <w:t>“</w:t>
      </w:r>
      <w:r>
        <w:rPr>
          <w:rFonts w:ascii="Times New Roman" w:hAnsi="Times New Roman" w:cs="Times New Roman"/>
          <w:color w:val="000000"/>
          <w:sz w:val="20"/>
        </w:rPr>
        <w:t>concluded that glyphosate is not genotoxic, an</w:t>
      </w:r>
      <w:r>
        <w:rPr>
          <w:rFonts w:ascii="Times New Roman" w:hAnsi="Times New Roman" w:cs="Times New Roman"/>
          <w:color w:val="000000"/>
          <w:sz w:val="20"/>
        </w:rPr>
        <w:t>d changed his opinion about the need for some of the studies he initially proposed,</w:t>
      </w:r>
      <w:r>
        <w:rPr>
          <w:rFonts w:ascii="Times New Roman" w:hAnsi="Times New Roman" w:cs="Times New Roman"/>
          <w:color w:val="000000"/>
          <w:sz w:val="20"/>
        </w:rPr>
        <w:t>”</w:t>
      </w:r>
      <w:r>
        <w:rPr>
          <w:rFonts w:ascii="Times New Roman" w:hAnsi="Times New Roman" w:cs="Times New Roman"/>
          <w:color w:val="000000"/>
          <w:sz w:val="20"/>
        </w:rPr>
        <w:t xml:space="preserve"> but cites an internal Monsanto email describing a meeting with the expert. By contrast, Johnson expert Portier testified that only one of the expert</w:t>
      </w:r>
      <w:r>
        <w:rPr>
          <w:rFonts w:ascii="Times New Roman" w:hAnsi="Times New Roman" w:cs="Times New Roman"/>
          <w:color w:val="000000"/>
          <w:sz w:val="20"/>
        </w:rPr>
        <w:t>’</w:t>
      </w:r>
      <w:r>
        <w:rPr>
          <w:rFonts w:ascii="Times New Roman" w:hAnsi="Times New Roman" w:cs="Times New Roman"/>
          <w:color w:val="000000"/>
          <w:sz w:val="20"/>
        </w:rPr>
        <w:t xml:space="preserve">s recommendations was </w:t>
      </w:r>
      <w:r>
        <w:rPr>
          <w:rFonts w:ascii="Times New Roman" w:hAnsi="Times New Roman" w:cs="Times New Roman"/>
          <w:color w:val="000000"/>
          <w:sz w:val="20"/>
        </w:rPr>
        <w:t>followed. The conflicting testimony highlights that the adequacy of the testing was a question for the jury.</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65" w:name="co_pp_sp_999_32_1"/>
      <w:bookmarkEnd w:id="65"/>
      <w:r>
        <w:rPr>
          <w:rFonts w:ascii="Times New Roman" w:hAnsi="Times New Roman" w:cs="Times New Roman"/>
          <w:b/>
          <w:color w:val="000000"/>
          <w:sz w:val="20"/>
        </w:rPr>
        <w:t>*32</w:t>
      </w:r>
      <w:r>
        <w:rPr>
          <w:rFonts w:ascii="Times New Roman" w:hAnsi="Times New Roman" w:cs="Times New Roman"/>
          <w:color w:val="000000"/>
          <w:sz w:val="20"/>
        </w:rPr>
        <w:t xml:space="preserve"> In any event, as the use of glyphosate-based herbicides increased from the late 1980s to the early 200</w:t>
      </w:r>
      <w:r>
        <w:rPr>
          <w:rFonts w:ascii="Times New Roman" w:hAnsi="Times New Roman" w:cs="Times New Roman"/>
          <w:color w:val="000000"/>
          <w:sz w:val="20"/>
        </w:rPr>
        <w:t>0s, when glyphosate became the top-used herbicide, so did the studies showing the compound</w:t>
      </w:r>
      <w:r>
        <w:rPr>
          <w:rFonts w:ascii="Times New Roman" w:hAnsi="Times New Roman" w:cs="Times New Roman"/>
          <w:color w:val="000000"/>
          <w:sz w:val="20"/>
        </w:rPr>
        <w:t>’</w:t>
      </w:r>
      <w:r>
        <w:rPr>
          <w:rFonts w:ascii="Times New Roman" w:hAnsi="Times New Roman" w:cs="Times New Roman"/>
          <w:color w:val="000000"/>
          <w:sz w:val="20"/>
        </w:rPr>
        <w:t xml:space="preserve">s potential </w:t>
      </w:r>
      <w:r>
        <w:rPr>
          <w:rFonts w:ascii="Times New Roman" w:hAnsi="Times New Roman" w:cs="Times New Roman"/>
          <w:color w:val="0000FF"/>
          <w:sz w:val="20"/>
        </w:rPr>
        <w:t>genotoxicity</w:t>
      </w:r>
      <w:r>
        <w:rPr>
          <w:rFonts w:ascii="Times New Roman" w:hAnsi="Times New Roman" w:cs="Times New Roman"/>
          <w:color w:val="000000"/>
          <w:sz w:val="20"/>
        </w:rPr>
        <w:t>. Johnson</w:t>
      </w:r>
      <w:r>
        <w:rPr>
          <w:rFonts w:ascii="Times New Roman" w:hAnsi="Times New Roman" w:cs="Times New Roman"/>
          <w:color w:val="000000"/>
          <w:sz w:val="20"/>
        </w:rPr>
        <w:t>’</w:t>
      </w:r>
      <w:r>
        <w:rPr>
          <w:rFonts w:ascii="Times New Roman" w:hAnsi="Times New Roman" w:cs="Times New Roman"/>
          <w:color w:val="000000"/>
          <w:sz w:val="20"/>
        </w:rPr>
        <w:t xml:space="preserve">s expert in pesticide regulation and pesticide risk assessment testified that in 1999 and 2001, </w:t>
      </w:r>
      <w:r>
        <w:rPr>
          <w:rFonts w:ascii="Times New Roman" w:hAnsi="Times New Roman" w:cs="Times New Roman"/>
          <w:color w:val="000000"/>
          <w:sz w:val="20"/>
        </w:rPr>
        <w:t>“</w:t>
      </w:r>
      <w:r>
        <w:rPr>
          <w:rFonts w:ascii="Times New Roman" w:hAnsi="Times New Roman" w:cs="Times New Roman"/>
          <w:color w:val="000000"/>
          <w:sz w:val="20"/>
        </w:rPr>
        <w:t>several peer-reviewed papers had c</w:t>
      </w:r>
      <w:r>
        <w:rPr>
          <w:rFonts w:ascii="Times New Roman" w:hAnsi="Times New Roman" w:cs="Times New Roman"/>
          <w:color w:val="000000"/>
          <w:sz w:val="20"/>
        </w:rPr>
        <w:t>ome out using a variety of the different genotox assays,</w:t>
      </w:r>
      <w:r>
        <w:rPr>
          <w:rFonts w:ascii="Times New Roman" w:hAnsi="Times New Roman" w:cs="Times New Roman"/>
          <w:color w:val="000000"/>
          <w:sz w:val="20"/>
        </w:rPr>
        <w:t>”</w:t>
      </w:r>
      <w:r>
        <w:rPr>
          <w:rFonts w:ascii="Times New Roman" w:hAnsi="Times New Roman" w:cs="Times New Roman"/>
          <w:color w:val="000000"/>
          <w:sz w:val="20"/>
        </w:rPr>
        <w:t xml:space="preserve"> and </w:t>
      </w:r>
      <w:r>
        <w:rPr>
          <w:rFonts w:ascii="Times New Roman" w:hAnsi="Times New Roman" w:cs="Times New Roman"/>
          <w:color w:val="000000"/>
          <w:sz w:val="20"/>
        </w:rPr>
        <w:t>“</w:t>
      </w:r>
      <w:r>
        <w:rPr>
          <w:rFonts w:ascii="Times New Roman" w:hAnsi="Times New Roman" w:cs="Times New Roman"/>
          <w:color w:val="000000"/>
          <w:sz w:val="20"/>
        </w:rPr>
        <w:t>by 2005 there were a boat load</w:t>
      </w:r>
      <w:r>
        <w:rPr>
          <w:rFonts w:ascii="Times New Roman" w:hAnsi="Times New Roman" w:cs="Times New Roman"/>
          <w:color w:val="000000"/>
          <w:sz w:val="20"/>
        </w:rPr>
        <w:t>”</w:t>
      </w:r>
      <w:r>
        <w:rPr>
          <w:rFonts w:ascii="Times New Roman" w:hAnsi="Times New Roman" w:cs="Times New Roman"/>
          <w:color w:val="000000"/>
          <w:sz w:val="20"/>
        </w:rPr>
        <w:t xml:space="preserve"> of studies. When met with new information about possible </w:t>
      </w:r>
      <w:r>
        <w:rPr>
          <w:rFonts w:ascii="Times New Roman" w:hAnsi="Times New Roman" w:cs="Times New Roman"/>
          <w:color w:val="0000FF"/>
          <w:sz w:val="20"/>
        </w:rPr>
        <w:t>cancer</w:t>
      </w:r>
      <w:r>
        <w:rPr>
          <w:rFonts w:ascii="Times New Roman" w:hAnsi="Times New Roman" w:cs="Times New Roman"/>
          <w:color w:val="000000"/>
          <w:sz w:val="20"/>
        </w:rPr>
        <w:t xml:space="preserve"> risks, Monsanto would push back. For example, in a 2008 internal email sent in response to a pres</w:t>
      </w:r>
      <w:r>
        <w:rPr>
          <w:rFonts w:ascii="Times New Roman" w:hAnsi="Times New Roman" w:cs="Times New Roman"/>
          <w:color w:val="000000"/>
          <w:sz w:val="20"/>
        </w:rPr>
        <w:t xml:space="preserve">s release about a scientific paper that had concluded glyphosate increased </w:t>
      </w:r>
      <w:r>
        <w:rPr>
          <w:rFonts w:ascii="Times New Roman" w:hAnsi="Times New Roman" w:cs="Times New Roman"/>
          <w:color w:val="0000FF"/>
          <w:sz w:val="20"/>
        </w:rPr>
        <w:t>cancer</w:t>
      </w:r>
      <w:r>
        <w:rPr>
          <w:rFonts w:ascii="Times New Roman" w:hAnsi="Times New Roman" w:cs="Times New Roman"/>
          <w:color w:val="000000"/>
          <w:sz w:val="20"/>
        </w:rPr>
        <w:t xml:space="preserve"> risks, a high-level Monsanto scientist wrote, </w:t>
      </w:r>
      <w:r>
        <w:rPr>
          <w:rFonts w:ascii="Times New Roman" w:hAnsi="Times New Roman" w:cs="Times New Roman"/>
          <w:color w:val="000000"/>
          <w:sz w:val="20"/>
        </w:rPr>
        <w:t>“</w:t>
      </w:r>
      <w:r>
        <w:rPr>
          <w:rFonts w:ascii="Times New Roman" w:hAnsi="Times New Roman" w:cs="Times New Roman"/>
          <w:color w:val="000000"/>
          <w:sz w:val="20"/>
        </w:rPr>
        <w:t xml:space="preserve">We have been aware of this paper for a[ ]while and knew it would only be a matter of time before the activists pick[ed] it up. </w:t>
      </w:r>
      <w:r>
        <w:rPr>
          <w:rFonts w:ascii="Times New Roman" w:hAnsi="Times New Roman" w:cs="Times New Roman"/>
          <w:color w:val="000000"/>
          <w:sz w:val="20"/>
        </w:rPr>
        <w:t>I have some epi experts reviewing it.... [¶] Here is their bottom line ... how do we combat this?</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In addition to the evidence that the company discounted questions about glyphosate</w:t>
      </w:r>
      <w:r>
        <w:rPr>
          <w:rFonts w:ascii="Times New Roman" w:hAnsi="Times New Roman" w:cs="Times New Roman"/>
          <w:color w:val="000000"/>
          <w:sz w:val="20"/>
        </w:rPr>
        <w:t>’</w:t>
      </w:r>
      <w:r>
        <w:rPr>
          <w:rFonts w:ascii="Times New Roman" w:hAnsi="Times New Roman" w:cs="Times New Roman"/>
          <w:color w:val="000000"/>
          <w:sz w:val="20"/>
        </w:rPr>
        <w:t xml:space="preserve">s safety and failed to adequately test its products, other evidence was </w:t>
      </w:r>
      <w:r>
        <w:rPr>
          <w:rFonts w:ascii="Times New Roman" w:hAnsi="Times New Roman" w:cs="Times New Roman"/>
          <w:color w:val="000000"/>
          <w:sz w:val="20"/>
        </w:rPr>
        <w:t>presented upon which the jury could have inferred that Monsanto acted with a conscious disregard for public safety. This included evidence that Monsanto employees surreptitiously contributed to articles reporting that glyphosate was non-carcinogenic. One s</w:t>
      </w:r>
      <w:r>
        <w:rPr>
          <w:rFonts w:ascii="Times New Roman" w:hAnsi="Times New Roman" w:cs="Times New Roman"/>
          <w:color w:val="000000"/>
          <w:sz w:val="20"/>
        </w:rPr>
        <w:t xml:space="preserve">uch article was touted for </w:t>
      </w:r>
      <w:r>
        <w:rPr>
          <w:rFonts w:ascii="Times New Roman" w:hAnsi="Times New Roman" w:cs="Times New Roman"/>
          <w:color w:val="000000"/>
          <w:sz w:val="20"/>
        </w:rPr>
        <w:t>“</w:t>
      </w:r>
      <w:r>
        <w:rPr>
          <w:rFonts w:ascii="Times New Roman" w:hAnsi="Times New Roman" w:cs="Times New Roman"/>
          <w:color w:val="000000"/>
          <w:sz w:val="20"/>
        </w:rPr>
        <w:t>future product defense against claims that glyphosate is mutagenic or genotoxic.</w:t>
      </w:r>
      <w:r>
        <w:rPr>
          <w:rFonts w:ascii="Times New Roman" w:hAnsi="Times New Roman" w:cs="Times New Roman"/>
          <w:color w:val="000000"/>
          <w:sz w:val="20"/>
        </w:rPr>
        <w:t>”</w:t>
      </w:r>
      <w:r>
        <w:rPr>
          <w:rFonts w:ascii="Times New Roman" w:hAnsi="Times New Roman" w:cs="Times New Roman"/>
          <w:color w:val="000000"/>
          <w:sz w:val="20"/>
        </w:rPr>
        <w:t xml:space="preserve"> Monsanto asserts that there was no evidence that the publications contained scientific misstatements, but the jury could have concluded that, rega</w:t>
      </w:r>
      <w:r>
        <w:rPr>
          <w:rFonts w:ascii="Times New Roman" w:hAnsi="Times New Roman" w:cs="Times New Roman"/>
          <w:color w:val="000000"/>
          <w:sz w:val="20"/>
        </w:rPr>
        <w:t xml:space="preserve">rdless of any misstatements, it was </w:t>
      </w:r>
      <w:r>
        <w:rPr>
          <w:rFonts w:ascii="Times New Roman" w:hAnsi="Times New Roman" w:cs="Times New Roman"/>
          <w:color w:val="000000"/>
          <w:sz w:val="20"/>
        </w:rPr>
        <w:lastRenderedPageBreak/>
        <w:t>improper to conceal the contributors</w:t>
      </w:r>
      <w:r>
        <w:rPr>
          <w:rFonts w:ascii="Times New Roman" w:hAnsi="Times New Roman" w:cs="Times New Roman"/>
          <w:color w:val="000000"/>
          <w:sz w:val="20"/>
        </w:rPr>
        <w:t>’</w:t>
      </w:r>
      <w:r>
        <w:rPr>
          <w:rFonts w:ascii="Times New Roman" w:hAnsi="Times New Roman" w:cs="Times New Roman"/>
          <w:color w:val="000000"/>
          <w:sz w:val="20"/>
        </w:rPr>
        <w:t xml:space="preserve"> connection to Monsanto. Even if the evidence did not require an inference that Monsanto was more concerned about defending and promoting its product than public health, it supported </w:t>
      </w:r>
      <w:r>
        <w:rPr>
          <w:rFonts w:ascii="Times New Roman" w:hAnsi="Times New Roman" w:cs="Times New Roman"/>
          <w:color w:val="000000"/>
          <w:sz w:val="20"/>
        </w:rPr>
        <w:t>such an inference.</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Similarly, the jury could have inferred that Monsanto</w:t>
      </w:r>
      <w:r>
        <w:rPr>
          <w:rFonts w:ascii="Times New Roman" w:hAnsi="Times New Roman" w:cs="Times New Roman"/>
          <w:color w:val="000000"/>
          <w:sz w:val="20"/>
        </w:rPr>
        <w:t>’</w:t>
      </w:r>
      <w:r>
        <w:rPr>
          <w:rFonts w:ascii="Times New Roman" w:hAnsi="Times New Roman" w:cs="Times New Roman"/>
          <w:color w:val="000000"/>
          <w:sz w:val="20"/>
        </w:rPr>
        <w:t>s actions in attempting to influence regulatory agencies evinced an indifference to public safety. Johnson presented evidence that Monsanto lobbied to prevent the IARC from concludi</w:t>
      </w:r>
      <w:r>
        <w:rPr>
          <w:rFonts w:ascii="Times New Roman" w:hAnsi="Times New Roman" w:cs="Times New Roman"/>
          <w:color w:val="000000"/>
          <w:sz w:val="20"/>
        </w:rPr>
        <w:t xml:space="preserve">ng that glyphosate has any </w:t>
      </w:r>
      <w:r>
        <w:rPr>
          <w:rFonts w:ascii="Times New Roman" w:hAnsi="Times New Roman" w:cs="Times New Roman"/>
          <w:color w:val="0000FF"/>
          <w:sz w:val="20"/>
        </w:rPr>
        <w:t>genotoxicity</w:t>
      </w:r>
      <w:r>
        <w:rPr>
          <w:rFonts w:ascii="Times New Roman" w:hAnsi="Times New Roman" w:cs="Times New Roman"/>
          <w:color w:val="000000"/>
          <w:sz w:val="20"/>
        </w:rPr>
        <w:t xml:space="preserve">, and it worked to minimize the adverse impact of the conclusion after it was reached. Months before the Monograph was approved, Monsanto recognized that glyphosate had </w:t>
      </w:r>
      <w:r>
        <w:rPr>
          <w:rFonts w:ascii="Times New Roman" w:hAnsi="Times New Roman" w:cs="Times New Roman"/>
          <w:color w:val="000000"/>
          <w:sz w:val="20"/>
        </w:rPr>
        <w:t>“</w:t>
      </w:r>
      <w:r>
        <w:rPr>
          <w:rFonts w:ascii="Times New Roman" w:hAnsi="Times New Roman" w:cs="Times New Roman"/>
          <w:color w:val="000000"/>
          <w:sz w:val="20"/>
        </w:rPr>
        <w:t>vulnerabilities</w:t>
      </w:r>
      <w:r>
        <w:rPr>
          <w:rFonts w:ascii="Times New Roman" w:hAnsi="Times New Roman" w:cs="Times New Roman"/>
          <w:color w:val="000000"/>
          <w:sz w:val="20"/>
        </w:rPr>
        <w:t>”</w:t>
      </w:r>
      <w:r>
        <w:rPr>
          <w:rFonts w:ascii="Times New Roman" w:hAnsi="Times New Roman" w:cs="Times New Roman"/>
          <w:color w:val="000000"/>
          <w:sz w:val="20"/>
        </w:rPr>
        <w:t xml:space="preserve"> in areas the IARC would consid</w:t>
      </w:r>
      <w:r>
        <w:rPr>
          <w:rFonts w:ascii="Times New Roman" w:hAnsi="Times New Roman" w:cs="Times New Roman"/>
          <w:color w:val="000000"/>
          <w:sz w:val="20"/>
        </w:rPr>
        <w:t xml:space="preserve">er, </w:t>
      </w:r>
      <w:r>
        <w:rPr>
          <w:rFonts w:ascii="Times New Roman" w:hAnsi="Times New Roman" w:cs="Times New Roman"/>
          <w:color w:val="000000"/>
          <w:sz w:val="20"/>
        </w:rPr>
        <w:t>“</w:t>
      </w:r>
      <w:r>
        <w:rPr>
          <w:rFonts w:ascii="Times New Roman" w:hAnsi="Times New Roman" w:cs="Times New Roman"/>
          <w:color w:val="000000"/>
          <w:sz w:val="20"/>
        </w:rPr>
        <w:t>namely, exposure, genotox and mode of action.</w:t>
      </w:r>
      <w:r>
        <w:rPr>
          <w:rFonts w:ascii="Times New Roman" w:hAnsi="Times New Roman" w:cs="Times New Roman"/>
          <w:color w:val="000000"/>
          <w:sz w:val="20"/>
        </w:rPr>
        <w:t>”</w:t>
      </w:r>
      <w:r>
        <w:rPr>
          <w:rFonts w:ascii="Times New Roman" w:hAnsi="Times New Roman" w:cs="Times New Roman"/>
          <w:color w:val="000000"/>
          <w:sz w:val="20"/>
        </w:rPr>
        <w:t xml:space="preserve"> Shortly after the IARC announced that glyphosate was probably carcinogenic, representatives of Monsanto met with staff from the EPA, U.S. Department of Agriculture, U.S. Trade Representative and U.S. Depa</w:t>
      </w:r>
      <w:r>
        <w:rPr>
          <w:rFonts w:ascii="Times New Roman" w:hAnsi="Times New Roman" w:cs="Times New Roman"/>
          <w:color w:val="000000"/>
          <w:sz w:val="20"/>
        </w:rPr>
        <w:t xml:space="preserve">rtment of State; key members of Congress; the Senate Agricultural Committee; and the Department of Health and Human Services. Monsanto claimed that these meetings were to provide </w:t>
      </w:r>
      <w:r>
        <w:rPr>
          <w:rFonts w:ascii="Times New Roman" w:hAnsi="Times New Roman" w:cs="Times New Roman"/>
          <w:color w:val="000000"/>
          <w:sz w:val="20"/>
        </w:rPr>
        <w:t>“</w:t>
      </w:r>
      <w:r>
        <w:rPr>
          <w:rFonts w:ascii="Times New Roman" w:hAnsi="Times New Roman" w:cs="Times New Roman"/>
          <w:color w:val="000000"/>
          <w:sz w:val="20"/>
        </w:rPr>
        <w:t>proper context of the [IARC] classification for governments and regulators a</w:t>
      </w:r>
      <w:r>
        <w:rPr>
          <w:rFonts w:ascii="Times New Roman" w:hAnsi="Times New Roman" w:cs="Times New Roman"/>
          <w:color w:val="000000"/>
          <w:sz w:val="20"/>
        </w:rPr>
        <w:t>round the world.</w:t>
      </w:r>
      <w:r>
        <w:rPr>
          <w:rFonts w:ascii="Times New Roman" w:hAnsi="Times New Roman" w:cs="Times New Roman"/>
          <w:color w:val="000000"/>
          <w:sz w:val="20"/>
        </w:rPr>
        <w:t>”</w:t>
      </w:r>
      <w:r>
        <w:rPr>
          <w:rFonts w:ascii="Times New Roman" w:hAnsi="Times New Roman" w:cs="Times New Roman"/>
          <w:color w:val="000000"/>
          <w:sz w:val="20"/>
        </w:rPr>
        <w:t xml:space="preserve"> But the jury could have inferred that these meetings were intended primarily to protect Monsanto</w:t>
      </w:r>
      <w:r>
        <w:rPr>
          <w:rFonts w:ascii="Times New Roman" w:hAnsi="Times New Roman" w:cs="Times New Roman"/>
          <w:color w:val="000000"/>
          <w:sz w:val="20"/>
        </w:rPr>
        <w:t>’</w:t>
      </w:r>
      <w:r>
        <w:rPr>
          <w:rFonts w:ascii="Times New Roman" w:hAnsi="Times New Roman" w:cs="Times New Roman"/>
          <w:color w:val="000000"/>
          <w:sz w:val="20"/>
        </w:rPr>
        <w:t>s bottom line.</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The jury could also have found that punitive damages were warranted, at least in part, because Monsanto failed to return Joh</w:t>
      </w:r>
      <w:r>
        <w:rPr>
          <w:rFonts w:ascii="Times New Roman" w:hAnsi="Times New Roman" w:cs="Times New Roman"/>
          <w:color w:val="000000"/>
          <w:sz w:val="20"/>
        </w:rPr>
        <w:t>nson</w:t>
      </w:r>
      <w:r>
        <w:rPr>
          <w:rFonts w:ascii="Times New Roman" w:hAnsi="Times New Roman" w:cs="Times New Roman"/>
          <w:color w:val="000000"/>
          <w:sz w:val="20"/>
        </w:rPr>
        <w:t>’</w:t>
      </w:r>
      <w:r>
        <w:rPr>
          <w:rFonts w:ascii="Times New Roman" w:hAnsi="Times New Roman" w:cs="Times New Roman"/>
          <w:color w:val="000000"/>
          <w:sz w:val="20"/>
        </w:rPr>
        <w:t xml:space="preserve">s calls. Johnson twice called Monsanto because </w:t>
      </w:r>
      <w:r>
        <w:rPr>
          <w:rFonts w:ascii="Times New Roman" w:hAnsi="Times New Roman" w:cs="Times New Roman"/>
          <w:color w:val="000000"/>
          <w:sz w:val="20"/>
        </w:rPr>
        <w:t>“</w:t>
      </w:r>
      <w:r>
        <w:rPr>
          <w:rFonts w:ascii="Times New Roman" w:hAnsi="Times New Roman" w:cs="Times New Roman"/>
          <w:color w:val="000000"/>
          <w:sz w:val="20"/>
        </w:rPr>
        <w:t>it was a very scary, confusing time, and [he] didn</w:t>
      </w:r>
      <w:r>
        <w:rPr>
          <w:rFonts w:ascii="Times New Roman" w:hAnsi="Times New Roman" w:cs="Times New Roman"/>
          <w:color w:val="000000"/>
          <w:sz w:val="20"/>
        </w:rPr>
        <w:t>’</w:t>
      </w:r>
      <w:r>
        <w:rPr>
          <w:rFonts w:ascii="Times New Roman" w:hAnsi="Times New Roman" w:cs="Times New Roman"/>
          <w:color w:val="000000"/>
          <w:sz w:val="20"/>
        </w:rPr>
        <w:t>t know what was happening.</w:t>
      </w:r>
      <w:r>
        <w:rPr>
          <w:rFonts w:ascii="Times New Roman" w:hAnsi="Times New Roman" w:cs="Times New Roman"/>
          <w:color w:val="000000"/>
          <w:sz w:val="20"/>
        </w:rPr>
        <w:t>”</w:t>
      </w:r>
      <w:r>
        <w:rPr>
          <w:rFonts w:ascii="Times New Roman" w:hAnsi="Times New Roman" w:cs="Times New Roman"/>
          <w:color w:val="000000"/>
          <w:sz w:val="20"/>
        </w:rPr>
        <w:t xml:space="preserve"> Once he was told that someone from the company would call him back, but no one did. While this evidence on its own might not</w:t>
      </w:r>
      <w:r>
        <w:rPr>
          <w:rFonts w:ascii="Times New Roman" w:hAnsi="Times New Roman" w:cs="Times New Roman"/>
          <w:color w:val="000000"/>
          <w:sz w:val="20"/>
        </w:rPr>
        <w:t xml:space="preserve"> warrant a finding of corporate malice, the jury was within its province to consider it along with other evidence in evaluating the egregiousness of Monsanto</w:t>
      </w:r>
      <w:r>
        <w:rPr>
          <w:rFonts w:ascii="Times New Roman" w:hAnsi="Times New Roman" w:cs="Times New Roman"/>
          <w:color w:val="000000"/>
          <w:sz w:val="20"/>
        </w:rPr>
        <w:t>’</w:t>
      </w:r>
      <w:r>
        <w:rPr>
          <w:rFonts w:ascii="Times New Roman" w:hAnsi="Times New Roman" w:cs="Times New Roman"/>
          <w:color w:val="000000"/>
          <w:sz w:val="20"/>
        </w:rPr>
        <w:t>s actions. The jury could have believed that Monsanto</w:t>
      </w:r>
      <w:r>
        <w:rPr>
          <w:rFonts w:ascii="Times New Roman" w:hAnsi="Times New Roman" w:cs="Times New Roman"/>
          <w:color w:val="000000"/>
          <w:sz w:val="20"/>
        </w:rPr>
        <w:t>’</w:t>
      </w:r>
      <w:r>
        <w:rPr>
          <w:rFonts w:ascii="Times New Roman" w:hAnsi="Times New Roman" w:cs="Times New Roman"/>
          <w:color w:val="000000"/>
          <w:sz w:val="20"/>
        </w:rPr>
        <w:t>s disinterest in Johnson</w:t>
      </w:r>
      <w:r>
        <w:rPr>
          <w:rFonts w:ascii="Times New Roman" w:hAnsi="Times New Roman" w:cs="Times New Roman"/>
          <w:color w:val="000000"/>
          <w:sz w:val="20"/>
        </w:rPr>
        <w:t>’</w:t>
      </w:r>
      <w:r>
        <w:rPr>
          <w:rFonts w:ascii="Times New Roman" w:hAnsi="Times New Roman" w:cs="Times New Roman"/>
          <w:color w:val="000000"/>
          <w:sz w:val="20"/>
        </w:rPr>
        <w:t>s specific concerns</w:t>
      </w:r>
      <w:r>
        <w:rPr>
          <w:rFonts w:ascii="Times New Roman" w:hAnsi="Times New Roman" w:cs="Times New Roman"/>
          <w:color w:val="000000"/>
          <w:sz w:val="20"/>
        </w:rPr>
        <w:t xml:space="preserve"> aligned with the lack of evidence showing that Monsanto employees cared about the public safety.</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Taken together, the evidence amounted to substantial evidence that Monsanto acted with a willful and conscious disregard of others</w:t>
      </w:r>
      <w:r>
        <w:rPr>
          <w:rFonts w:ascii="Times New Roman" w:hAnsi="Times New Roman" w:cs="Times New Roman"/>
          <w:color w:val="000000"/>
          <w:sz w:val="20"/>
        </w:rPr>
        <w:t>’</w:t>
      </w:r>
      <w:r>
        <w:rPr>
          <w:rFonts w:ascii="Times New Roman" w:hAnsi="Times New Roman" w:cs="Times New Roman"/>
          <w:color w:val="000000"/>
          <w:sz w:val="20"/>
        </w:rPr>
        <w:t xml:space="preserve"> safety. (</w:t>
      </w:r>
      <w:r>
        <w:rPr>
          <w:rFonts w:ascii="Times New Roman" w:hAnsi="Times New Roman" w:cs="Times New Roman"/>
          <w:color w:val="0000FF"/>
          <w:sz w:val="20"/>
        </w:rPr>
        <w:t>Civ. Code, §</w:t>
      </w:r>
      <w:r>
        <w:rPr>
          <w:rFonts w:ascii="Times New Roman" w:hAnsi="Times New Roman" w:cs="Times New Roman"/>
          <w:color w:val="0000FF"/>
          <w:sz w:val="20"/>
        </w:rPr>
        <w:t xml:space="preserve"> 3294, subd. (c)(1)</w:t>
      </w:r>
      <w:r>
        <w:rPr>
          <w:rFonts w:ascii="Times New Roman" w:hAnsi="Times New Roman" w:cs="Times New Roman"/>
          <w:color w:val="000000"/>
          <w:sz w:val="20"/>
        </w:rPr>
        <w:t xml:space="preserve">.) The collective evidence in this case is a far cry from the facts in </w:t>
      </w:r>
      <w:r>
        <w:rPr>
          <w:rFonts w:ascii="Times New Roman" w:hAnsi="Times New Roman" w:cs="Times New Roman"/>
          <w:i/>
          <w:color w:val="0000FF"/>
          <w:sz w:val="20"/>
        </w:rPr>
        <w:t>Cruz v. HomeBase</w:t>
      </w:r>
      <w:r>
        <w:rPr>
          <w:rFonts w:ascii="Times New Roman" w:hAnsi="Times New Roman" w:cs="Times New Roman"/>
          <w:color w:val="0000FF"/>
          <w:sz w:val="20"/>
        </w:rPr>
        <w:t xml:space="preserve"> (2000) 83 Cal.App.4th 160</w:t>
      </w:r>
      <w:r>
        <w:rPr>
          <w:rFonts w:ascii="Times New Roman" w:hAnsi="Times New Roman" w:cs="Times New Roman"/>
          <w:color w:val="000000"/>
          <w:sz w:val="20"/>
        </w:rPr>
        <w:t>, cited by Monsanto, where the evidence showed that a store</w:t>
      </w:r>
      <w:r>
        <w:rPr>
          <w:rFonts w:ascii="Times New Roman" w:hAnsi="Times New Roman" w:cs="Times New Roman"/>
          <w:color w:val="000000"/>
          <w:sz w:val="20"/>
        </w:rPr>
        <w:t>’</w:t>
      </w:r>
      <w:r>
        <w:rPr>
          <w:rFonts w:ascii="Times New Roman" w:hAnsi="Times New Roman" w:cs="Times New Roman"/>
          <w:color w:val="000000"/>
          <w:sz w:val="20"/>
        </w:rPr>
        <w:t>s agents lacked actual knowledge that a security guard mistreate</w:t>
      </w:r>
      <w:r>
        <w:rPr>
          <w:rFonts w:ascii="Times New Roman" w:hAnsi="Times New Roman" w:cs="Times New Roman"/>
          <w:color w:val="000000"/>
          <w:sz w:val="20"/>
        </w:rPr>
        <w:t>d a customer, even though they had received a report that could have prompted a further investigation. (</w:t>
      </w:r>
      <w:r>
        <w:rPr>
          <w:rFonts w:ascii="Times New Roman" w:hAnsi="Times New Roman" w:cs="Times New Roman"/>
          <w:i/>
          <w:color w:val="0000FF"/>
          <w:sz w:val="20"/>
        </w:rPr>
        <w:t>Id.</w:t>
      </w:r>
      <w:r>
        <w:rPr>
          <w:rFonts w:ascii="Times New Roman" w:hAnsi="Times New Roman" w:cs="Times New Roman"/>
          <w:color w:val="0000FF"/>
          <w:sz w:val="20"/>
        </w:rPr>
        <w:t xml:space="preserve"> at pp. 163</w:t>
      </w:r>
      <w:r>
        <w:rPr>
          <w:rFonts w:ascii="Times New Roman" w:hAnsi="Times New Roman" w:cs="Times New Roman"/>
          <w:color w:val="0000FF"/>
          <w:sz w:val="20"/>
        </w:rPr>
        <w:t>–</w:t>
      </w:r>
      <w:r>
        <w:rPr>
          <w:rFonts w:ascii="Times New Roman" w:hAnsi="Times New Roman" w:cs="Times New Roman"/>
          <w:color w:val="0000FF"/>
          <w:sz w:val="20"/>
        </w:rPr>
        <w:t>164, 166, 168</w:t>
      </w:r>
      <w:r>
        <w:rPr>
          <w:rFonts w:ascii="Times New Roman" w:hAnsi="Times New Roman" w:cs="Times New Roman"/>
          <w:color w:val="000000"/>
          <w:sz w:val="20"/>
        </w:rPr>
        <w:t xml:space="preserve">.) The evidence here is also far different from the facts in </w:t>
      </w:r>
      <w:r>
        <w:rPr>
          <w:rFonts w:ascii="Times New Roman" w:hAnsi="Times New Roman" w:cs="Times New Roman"/>
          <w:color w:val="000000"/>
          <w:sz w:val="20"/>
        </w:rPr>
        <w:t xml:space="preserve">recently decided </w:t>
      </w:r>
      <w:r>
        <w:rPr>
          <w:rFonts w:ascii="Times New Roman" w:hAnsi="Times New Roman" w:cs="Times New Roman"/>
          <w:i/>
          <w:color w:val="0000FF"/>
          <w:sz w:val="20"/>
        </w:rPr>
        <w:t>Echeverria</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37 Cal.App.5th 292</w:t>
      </w:r>
      <w:r>
        <w:rPr>
          <w:rFonts w:ascii="Times New Roman" w:hAnsi="Times New Roman" w:cs="Times New Roman"/>
          <w:color w:val="000000"/>
          <w:sz w:val="20"/>
        </w:rPr>
        <w:t>, cited b</w:t>
      </w:r>
      <w:r>
        <w:rPr>
          <w:rFonts w:ascii="Times New Roman" w:hAnsi="Times New Roman" w:cs="Times New Roman"/>
          <w:color w:val="000000"/>
          <w:sz w:val="20"/>
        </w:rPr>
        <w:t xml:space="preserve">y Monsanto in its reply brief and again at oral argument. In </w:t>
      </w:r>
      <w:r>
        <w:rPr>
          <w:rFonts w:ascii="Times New Roman" w:hAnsi="Times New Roman" w:cs="Times New Roman"/>
          <w:i/>
          <w:color w:val="000000"/>
          <w:sz w:val="20"/>
        </w:rPr>
        <w:t>Echeverria</w:t>
      </w:r>
      <w:r>
        <w:rPr>
          <w:rFonts w:ascii="Times New Roman" w:hAnsi="Times New Roman" w:cs="Times New Roman"/>
          <w:color w:val="000000"/>
          <w:sz w:val="20"/>
        </w:rPr>
        <w:t xml:space="preserve">, a woman developed ovarian </w:t>
      </w:r>
      <w:r>
        <w:rPr>
          <w:rFonts w:ascii="Times New Roman" w:hAnsi="Times New Roman" w:cs="Times New Roman"/>
          <w:color w:val="0000FF"/>
          <w:sz w:val="20"/>
        </w:rPr>
        <w:t>cancer</w:t>
      </w:r>
      <w:r>
        <w:rPr>
          <w:rFonts w:ascii="Times New Roman" w:hAnsi="Times New Roman" w:cs="Times New Roman"/>
          <w:color w:val="000000"/>
          <w:sz w:val="20"/>
        </w:rPr>
        <w:t xml:space="preserve"> after years of using baby powder containing talc. (</w:t>
      </w:r>
      <w:r>
        <w:rPr>
          <w:rFonts w:ascii="Times New Roman" w:hAnsi="Times New Roman" w:cs="Times New Roman"/>
          <w:i/>
          <w:color w:val="0000FF"/>
          <w:sz w:val="20"/>
        </w:rPr>
        <w:t>Id.</w:t>
      </w:r>
      <w:r>
        <w:rPr>
          <w:rFonts w:ascii="Times New Roman" w:hAnsi="Times New Roman" w:cs="Times New Roman"/>
          <w:color w:val="0000FF"/>
          <w:sz w:val="20"/>
        </w:rPr>
        <w:t xml:space="preserve"> at pp. 296</w:t>
      </w:r>
      <w:r>
        <w:rPr>
          <w:rFonts w:ascii="Times New Roman" w:hAnsi="Times New Roman" w:cs="Times New Roman"/>
          <w:color w:val="0000FF"/>
          <w:sz w:val="20"/>
        </w:rPr>
        <w:t>–</w:t>
      </w:r>
      <w:r>
        <w:rPr>
          <w:rFonts w:ascii="Times New Roman" w:hAnsi="Times New Roman" w:cs="Times New Roman"/>
          <w:color w:val="0000FF"/>
          <w:sz w:val="20"/>
        </w:rPr>
        <w:t>297</w:t>
      </w:r>
      <w:r>
        <w:rPr>
          <w:rFonts w:ascii="Times New Roman" w:hAnsi="Times New Roman" w:cs="Times New Roman"/>
          <w:color w:val="000000"/>
          <w:sz w:val="20"/>
        </w:rPr>
        <w:t>.) She sued two companies, an initial and subsequent manufacturer of the talc, an</w:t>
      </w:r>
      <w:r>
        <w:rPr>
          <w:rFonts w:ascii="Times New Roman" w:hAnsi="Times New Roman" w:cs="Times New Roman"/>
          <w:color w:val="000000"/>
          <w:sz w:val="20"/>
        </w:rPr>
        <w:t>d the jury found both liable for compensatory and punitive damages. (</w:t>
      </w:r>
      <w:r>
        <w:rPr>
          <w:rFonts w:ascii="Times New Roman" w:hAnsi="Times New Roman" w:cs="Times New Roman"/>
          <w:i/>
          <w:color w:val="0000FF"/>
          <w:sz w:val="20"/>
        </w:rPr>
        <w:t>Id.</w:t>
      </w:r>
      <w:r>
        <w:rPr>
          <w:rFonts w:ascii="Times New Roman" w:hAnsi="Times New Roman" w:cs="Times New Roman"/>
          <w:color w:val="0000FF"/>
          <w:sz w:val="20"/>
        </w:rPr>
        <w:t xml:space="preserve"> at p. 297</w:t>
      </w:r>
      <w:r>
        <w:rPr>
          <w:rFonts w:ascii="Times New Roman" w:hAnsi="Times New Roman" w:cs="Times New Roman"/>
          <w:color w:val="000000"/>
          <w:sz w:val="20"/>
        </w:rPr>
        <w:t>.) The companies filed separate motions for judgment notwithstanding the verdict as to both liability and punitive damages, as well as a joint motion for a new trial. (</w:t>
      </w:r>
      <w:r>
        <w:rPr>
          <w:rFonts w:ascii="Times New Roman" w:hAnsi="Times New Roman" w:cs="Times New Roman"/>
          <w:i/>
          <w:color w:val="000000"/>
          <w:sz w:val="20"/>
        </w:rPr>
        <w:t>Ibid.</w:t>
      </w:r>
      <w:r>
        <w:rPr>
          <w:rFonts w:ascii="Times New Roman" w:hAnsi="Times New Roman" w:cs="Times New Roman"/>
          <w:color w:val="000000"/>
          <w:sz w:val="20"/>
        </w:rPr>
        <w:t>)</w:t>
      </w:r>
      <w:r>
        <w:rPr>
          <w:rFonts w:ascii="Times New Roman" w:hAnsi="Times New Roman" w:cs="Times New Roman"/>
          <w:color w:val="000000"/>
          <w:sz w:val="20"/>
        </w:rPr>
        <w:t xml:space="preserve"> The trial court granted the motions. (</w:t>
      </w:r>
      <w:r>
        <w:rPr>
          <w:rFonts w:ascii="Times New Roman" w:hAnsi="Times New Roman" w:cs="Times New Roman"/>
          <w:i/>
          <w:color w:val="000000"/>
          <w:sz w:val="20"/>
        </w:rPr>
        <w:t>Ibid.</w:t>
      </w:r>
      <w:r>
        <w:rPr>
          <w:rFonts w:ascii="Times New Roman" w:hAnsi="Times New Roman" w:cs="Times New Roman"/>
          <w:color w:val="000000"/>
          <w:sz w:val="20"/>
        </w:rPr>
        <w:t>) The appellate court affirmed the granting of the motion for judgment notwithstanding the verdict as to the original manufacturer because no concerns were raised about talc until 15 years after the company stopp</w:t>
      </w:r>
      <w:r>
        <w:rPr>
          <w:rFonts w:ascii="Times New Roman" w:hAnsi="Times New Roman" w:cs="Times New Roman"/>
          <w:color w:val="000000"/>
          <w:sz w:val="20"/>
        </w:rPr>
        <w:t>ed making it. (</w:t>
      </w:r>
      <w:r>
        <w:rPr>
          <w:rFonts w:ascii="Times New Roman" w:hAnsi="Times New Roman" w:cs="Times New Roman"/>
          <w:i/>
          <w:color w:val="0000FF"/>
          <w:sz w:val="20"/>
        </w:rPr>
        <w:t>Id.</w:t>
      </w:r>
      <w:r>
        <w:rPr>
          <w:rFonts w:ascii="Times New Roman" w:hAnsi="Times New Roman" w:cs="Times New Roman"/>
          <w:color w:val="0000FF"/>
          <w:sz w:val="20"/>
        </w:rPr>
        <w:t xml:space="preserve"> at pp. 315</w:t>
      </w:r>
      <w:r>
        <w:rPr>
          <w:rFonts w:ascii="Times New Roman" w:hAnsi="Times New Roman" w:cs="Times New Roman"/>
          <w:color w:val="0000FF"/>
          <w:sz w:val="20"/>
        </w:rPr>
        <w:t>–</w:t>
      </w:r>
      <w:r>
        <w:rPr>
          <w:rFonts w:ascii="Times New Roman" w:hAnsi="Times New Roman" w:cs="Times New Roman"/>
          <w:color w:val="0000FF"/>
          <w:sz w:val="20"/>
        </w:rPr>
        <w:t>316</w:t>
      </w:r>
      <w:r>
        <w:rPr>
          <w:rFonts w:ascii="Times New Roman" w:hAnsi="Times New Roman" w:cs="Times New Roman"/>
          <w:color w:val="000000"/>
          <w:sz w:val="20"/>
        </w:rPr>
        <w:t>.) And although it reversed the granting of the judgment notwithstanding the verdict as to the subsequent manufacturer because there was sufficient evidence of causation, it affirmed the rejection of the claims for punitive</w:t>
      </w:r>
      <w:r>
        <w:rPr>
          <w:rFonts w:ascii="Times New Roman" w:hAnsi="Times New Roman" w:cs="Times New Roman"/>
          <w:color w:val="000000"/>
          <w:sz w:val="20"/>
        </w:rPr>
        <w:t xml:space="preserve"> damages. (</w:t>
      </w:r>
      <w:r>
        <w:rPr>
          <w:rFonts w:ascii="Times New Roman" w:hAnsi="Times New Roman" w:cs="Times New Roman"/>
          <w:i/>
          <w:color w:val="0000FF"/>
          <w:sz w:val="20"/>
        </w:rPr>
        <w:t>Id.</w:t>
      </w:r>
      <w:r>
        <w:rPr>
          <w:rFonts w:ascii="Times New Roman" w:hAnsi="Times New Roman" w:cs="Times New Roman"/>
          <w:color w:val="0000FF"/>
          <w:sz w:val="20"/>
        </w:rPr>
        <w:t xml:space="preserve"> at p. 337</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66" w:name="co_pp_sp_999_33_1"/>
      <w:bookmarkEnd w:id="66"/>
      <w:r>
        <w:rPr>
          <w:rFonts w:ascii="Times New Roman" w:hAnsi="Times New Roman" w:cs="Times New Roman"/>
          <w:b/>
          <w:color w:val="000000"/>
          <w:sz w:val="20"/>
        </w:rPr>
        <w:t>*33</w:t>
      </w:r>
      <w:r>
        <w:rPr>
          <w:rFonts w:ascii="Times New Roman" w:hAnsi="Times New Roman" w:cs="Times New Roman"/>
          <w:color w:val="000000"/>
          <w:sz w:val="20"/>
        </w:rPr>
        <w:t xml:space="preserve"> </w:t>
      </w:r>
      <w:r>
        <w:rPr>
          <w:rFonts w:ascii="Times New Roman" w:hAnsi="Times New Roman" w:cs="Times New Roman"/>
          <w:i/>
          <w:color w:val="000000"/>
          <w:sz w:val="20"/>
        </w:rPr>
        <w:t>Echeverria</w:t>
      </w:r>
      <w:r>
        <w:rPr>
          <w:rFonts w:ascii="Times New Roman" w:hAnsi="Times New Roman" w:cs="Times New Roman"/>
          <w:color w:val="000000"/>
          <w:sz w:val="20"/>
        </w:rPr>
        <w:t>’</w:t>
      </w:r>
      <w:r>
        <w:rPr>
          <w:rFonts w:ascii="Times New Roman" w:hAnsi="Times New Roman" w:cs="Times New Roman"/>
          <w:color w:val="000000"/>
          <w:sz w:val="20"/>
        </w:rPr>
        <w:t xml:space="preserve">s conclusion that punitive damages could not be sustained in that case is inapplicable here. In </w:t>
      </w:r>
      <w:r>
        <w:rPr>
          <w:rFonts w:ascii="Times New Roman" w:hAnsi="Times New Roman" w:cs="Times New Roman"/>
          <w:i/>
          <w:color w:val="000000"/>
          <w:sz w:val="20"/>
        </w:rPr>
        <w:t>Echeverria</w:t>
      </w:r>
      <w:r>
        <w:rPr>
          <w:rFonts w:ascii="Times New Roman" w:hAnsi="Times New Roman" w:cs="Times New Roman"/>
          <w:color w:val="000000"/>
          <w:sz w:val="20"/>
        </w:rPr>
        <w:t>, the court acknowledged there was some evidence that might otherwise su</w:t>
      </w:r>
      <w:r>
        <w:rPr>
          <w:rFonts w:ascii="Times New Roman" w:hAnsi="Times New Roman" w:cs="Times New Roman"/>
          <w:color w:val="000000"/>
          <w:sz w:val="20"/>
        </w:rPr>
        <w:t xml:space="preserve">pport an award for punitive damages, in that evidence suggested that the subsequent manufacturer had known of a </w:t>
      </w:r>
      <w:r>
        <w:rPr>
          <w:rFonts w:ascii="Times New Roman" w:hAnsi="Times New Roman" w:cs="Times New Roman"/>
          <w:i/>
          <w:color w:val="000000"/>
          <w:sz w:val="20"/>
        </w:rPr>
        <w:t>possible</w:t>
      </w:r>
      <w:r>
        <w:rPr>
          <w:rFonts w:ascii="Times New Roman" w:hAnsi="Times New Roman" w:cs="Times New Roman"/>
          <w:color w:val="000000"/>
          <w:sz w:val="20"/>
        </w:rPr>
        <w:t xml:space="preserve"> link between talc and </w:t>
      </w:r>
      <w:r>
        <w:rPr>
          <w:rFonts w:ascii="Times New Roman" w:hAnsi="Times New Roman" w:cs="Times New Roman"/>
          <w:color w:val="0000FF"/>
          <w:sz w:val="20"/>
        </w:rPr>
        <w:t>cancer</w:t>
      </w:r>
      <w:r>
        <w:rPr>
          <w:rFonts w:ascii="Times New Roman" w:hAnsi="Times New Roman" w:cs="Times New Roman"/>
          <w:color w:val="000000"/>
          <w:sz w:val="20"/>
        </w:rPr>
        <w:t xml:space="preserve"> and the company had </w:t>
      </w:r>
      <w:r>
        <w:rPr>
          <w:rFonts w:ascii="Times New Roman" w:hAnsi="Times New Roman" w:cs="Times New Roman"/>
          <w:color w:val="000000"/>
          <w:sz w:val="20"/>
        </w:rPr>
        <w:t>“</w:t>
      </w:r>
      <w:r>
        <w:rPr>
          <w:rFonts w:ascii="Times New Roman" w:hAnsi="Times New Roman" w:cs="Times New Roman"/>
          <w:color w:val="000000"/>
          <w:sz w:val="20"/>
        </w:rPr>
        <w:t>focused solely on avoiding such a conclusion.</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Echeverria</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xml:space="preserve">, 37 Cal.App.5th at </w:t>
      </w:r>
      <w:r>
        <w:rPr>
          <w:rFonts w:ascii="Times New Roman" w:hAnsi="Times New Roman" w:cs="Times New Roman"/>
          <w:color w:val="0000FF"/>
          <w:sz w:val="20"/>
        </w:rPr>
        <w:t>p. 333</w:t>
      </w:r>
      <w:r>
        <w:rPr>
          <w:rFonts w:ascii="Times New Roman" w:hAnsi="Times New Roman" w:cs="Times New Roman"/>
          <w:color w:val="000000"/>
          <w:sz w:val="20"/>
        </w:rPr>
        <w:t xml:space="preserve">.) But the court concluded that, notwithstanding this evidence, malice could not be shown because it was </w:t>
      </w:r>
      <w:r>
        <w:rPr>
          <w:rFonts w:ascii="Times New Roman" w:hAnsi="Times New Roman" w:cs="Times New Roman"/>
          <w:color w:val="000000"/>
          <w:sz w:val="20"/>
        </w:rPr>
        <w:t>“</w:t>
      </w:r>
      <w:r>
        <w:rPr>
          <w:rFonts w:ascii="Times New Roman" w:hAnsi="Times New Roman" w:cs="Times New Roman"/>
          <w:i/>
          <w:color w:val="000000"/>
          <w:sz w:val="20"/>
        </w:rPr>
        <w:t>undisputed</w:t>
      </w:r>
      <w:r>
        <w:rPr>
          <w:rFonts w:ascii="Times New Roman" w:hAnsi="Times New Roman" w:cs="Times New Roman"/>
          <w:color w:val="000000"/>
          <w:sz w:val="20"/>
        </w:rPr>
        <w:t xml:space="preserve"> that there has not been direct, conclusive evidence establishing genital talc use causes ovarian </w:t>
      </w:r>
      <w:r>
        <w:rPr>
          <w:rFonts w:ascii="Times New Roman" w:hAnsi="Times New Roman" w:cs="Times New Roman"/>
          <w:color w:val="0000FF"/>
          <w:sz w:val="20"/>
        </w:rPr>
        <w:t>cancer</w:t>
      </w:r>
      <w:r>
        <w:rPr>
          <w:rFonts w:ascii="Times New Roman" w:hAnsi="Times New Roman" w:cs="Times New Roman"/>
          <w:color w:val="000000"/>
          <w:sz w:val="20"/>
        </w:rPr>
        <w:t>”</w:t>
      </w:r>
      <w:r>
        <w:rPr>
          <w:rFonts w:ascii="Times New Roman" w:hAnsi="Times New Roman" w:cs="Times New Roman"/>
          <w:color w:val="000000"/>
          <w:sz w:val="20"/>
        </w:rPr>
        <w:t xml:space="preserve"> and studies had </w:t>
      </w:r>
      <w:r>
        <w:rPr>
          <w:rFonts w:ascii="Times New Roman" w:hAnsi="Times New Roman" w:cs="Times New Roman"/>
          <w:color w:val="000000"/>
          <w:sz w:val="20"/>
        </w:rPr>
        <w:t>“</w:t>
      </w:r>
      <w:r>
        <w:rPr>
          <w:rFonts w:ascii="Times New Roman" w:hAnsi="Times New Roman" w:cs="Times New Roman"/>
          <w:color w:val="000000"/>
          <w:sz w:val="20"/>
        </w:rPr>
        <w:t>resulted in</w:t>
      </w:r>
      <w:r>
        <w:rPr>
          <w:rFonts w:ascii="Times New Roman" w:hAnsi="Times New Roman" w:cs="Times New Roman"/>
          <w:color w:val="000000"/>
          <w:sz w:val="20"/>
        </w:rPr>
        <w:t xml:space="preserve"> conclusions that </w:t>
      </w:r>
      <w:r>
        <w:rPr>
          <w:rFonts w:ascii="Times New Roman" w:hAnsi="Times New Roman" w:cs="Times New Roman"/>
          <w:i/>
          <w:color w:val="000000"/>
          <w:sz w:val="20"/>
        </w:rPr>
        <w:t>fall short of a declaration</w:t>
      </w:r>
      <w:r>
        <w:rPr>
          <w:rFonts w:ascii="Times New Roman" w:hAnsi="Times New Roman" w:cs="Times New Roman"/>
          <w:color w:val="000000"/>
          <w:sz w:val="20"/>
        </w:rPr>
        <w:t xml:space="preserve"> that perineal use of talc is carcinogenic.</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Id.</w:t>
      </w:r>
      <w:r>
        <w:rPr>
          <w:rFonts w:ascii="Times New Roman" w:hAnsi="Times New Roman" w:cs="Times New Roman"/>
          <w:color w:val="0000FF"/>
          <w:sz w:val="20"/>
        </w:rPr>
        <w:t xml:space="preserve"> at p. 333</w:t>
      </w:r>
      <w:r>
        <w:rPr>
          <w:rFonts w:ascii="Times New Roman" w:hAnsi="Times New Roman" w:cs="Times New Roman"/>
          <w:color w:val="000000"/>
          <w:sz w:val="20"/>
        </w:rPr>
        <w:t>, italics added.)</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The jury here could have reasonably concluded that Monsanto, like the subsequent manufacturer in </w:t>
      </w:r>
      <w:r>
        <w:rPr>
          <w:rFonts w:ascii="Times New Roman" w:hAnsi="Times New Roman" w:cs="Times New Roman"/>
          <w:i/>
          <w:color w:val="000000"/>
          <w:sz w:val="20"/>
        </w:rPr>
        <w:t>Echeverria</w:t>
      </w:r>
      <w:r>
        <w:rPr>
          <w:rFonts w:ascii="Times New Roman" w:hAnsi="Times New Roman" w:cs="Times New Roman"/>
          <w:color w:val="000000"/>
          <w:sz w:val="20"/>
        </w:rPr>
        <w:t>, worked to avoid a deter</w:t>
      </w:r>
      <w:r>
        <w:rPr>
          <w:rFonts w:ascii="Times New Roman" w:hAnsi="Times New Roman" w:cs="Times New Roman"/>
          <w:color w:val="000000"/>
          <w:sz w:val="20"/>
        </w:rPr>
        <w:t xml:space="preserve">mination that its products might be shown to cause </w:t>
      </w:r>
      <w:r>
        <w:rPr>
          <w:rFonts w:ascii="Times New Roman" w:hAnsi="Times New Roman" w:cs="Times New Roman"/>
          <w:color w:val="0000FF"/>
          <w:sz w:val="20"/>
        </w:rPr>
        <w:t>cancer</w:t>
      </w:r>
      <w:r>
        <w:rPr>
          <w:rFonts w:ascii="Times New Roman" w:hAnsi="Times New Roman" w:cs="Times New Roman"/>
          <w:color w:val="000000"/>
          <w:sz w:val="20"/>
        </w:rPr>
        <w:t xml:space="preserve">. But here, unlike in </w:t>
      </w:r>
      <w:r>
        <w:rPr>
          <w:rFonts w:ascii="Times New Roman" w:hAnsi="Times New Roman" w:cs="Times New Roman"/>
          <w:i/>
          <w:color w:val="000000"/>
          <w:sz w:val="20"/>
        </w:rPr>
        <w:t>Echevarria</w:t>
      </w:r>
      <w:r>
        <w:rPr>
          <w:rFonts w:ascii="Times New Roman" w:hAnsi="Times New Roman" w:cs="Times New Roman"/>
          <w:color w:val="000000"/>
          <w:sz w:val="20"/>
        </w:rPr>
        <w:t xml:space="preserve">, there </w:t>
      </w:r>
      <w:r>
        <w:rPr>
          <w:rFonts w:ascii="Times New Roman" w:hAnsi="Times New Roman" w:cs="Times New Roman"/>
          <w:i/>
          <w:color w:val="000000"/>
          <w:sz w:val="20"/>
        </w:rPr>
        <w:t>was</w:t>
      </w:r>
      <w:r>
        <w:rPr>
          <w:rFonts w:ascii="Times New Roman" w:hAnsi="Times New Roman" w:cs="Times New Roman"/>
          <w:color w:val="000000"/>
          <w:sz w:val="20"/>
        </w:rPr>
        <w:t xml:space="preserve"> evidence of studies that had concluded that the product increased </w:t>
      </w:r>
      <w:r>
        <w:rPr>
          <w:rFonts w:ascii="Times New Roman" w:hAnsi="Times New Roman" w:cs="Times New Roman"/>
          <w:color w:val="0000FF"/>
          <w:sz w:val="20"/>
        </w:rPr>
        <w:t>cancer</w:t>
      </w:r>
      <w:r>
        <w:rPr>
          <w:rFonts w:ascii="Times New Roman" w:hAnsi="Times New Roman" w:cs="Times New Roman"/>
          <w:color w:val="000000"/>
          <w:sz w:val="20"/>
        </w:rPr>
        <w:t xml:space="preserve"> risks. And while both cases involved IARC determinations, these determinations wer</w:t>
      </w:r>
      <w:r>
        <w:rPr>
          <w:rFonts w:ascii="Times New Roman" w:hAnsi="Times New Roman" w:cs="Times New Roman"/>
          <w:color w:val="000000"/>
          <w:sz w:val="20"/>
        </w:rPr>
        <w:t xml:space="preserve">e different. In </w:t>
      </w:r>
      <w:r>
        <w:rPr>
          <w:rFonts w:ascii="Times New Roman" w:hAnsi="Times New Roman" w:cs="Times New Roman"/>
          <w:i/>
          <w:color w:val="000000"/>
          <w:sz w:val="20"/>
        </w:rPr>
        <w:t>Echevarria</w:t>
      </w:r>
      <w:r>
        <w:rPr>
          <w:rFonts w:ascii="Times New Roman" w:hAnsi="Times New Roman" w:cs="Times New Roman"/>
          <w:color w:val="000000"/>
          <w:sz w:val="20"/>
        </w:rPr>
        <w:t xml:space="preserve">, the IARC concluded that there was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limited evidence</w:t>
      </w:r>
      <w:r>
        <w:rPr>
          <w:rFonts w:ascii="Times New Roman" w:hAnsi="Times New Roman" w:cs="Times New Roman"/>
          <w:color w:val="000000"/>
          <w:sz w:val="20"/>
        </w:rPr>
        <w:t>’</w:t>
      </w:r>
      <w:r>
        <w:rPr>
          <w:rFonts w:ascii="Times New Roman" w:hAnsi="Times New Roman" w:cs="Times New Roman"/>
          <w:color w:val="000000"/>
          <w:sz w:val="20"/>
        </w:rPr>
        <w:t xml:space="preserve"> of carcinogenicity in humans and in experimental animals,</w:t>
      </w:r>
      <w:r>
        <w:rPr>
          <w:rFonts w:ascii="Times New Roman" w:hAnsi="Times New Roman" w:cs="Times New Roman"/>
          <w:color w:val="000000"/>
          <w:sz w:val="20"/>
        </w:rPr>
        <w:t>”</w:t>
      </w:r>
      <w:r>
        <w:rPr>
          <w:rFonts w:ascii="Times New Roman" w:hAnsi="Times New Roman" w:cs="Times New Roman"/>
          <w:color w:val="000000"/>
          <w:sz w:val="20"/>
        </w:rPr>
        <w:t xml:space="preserve"> meaning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[a] </w:t>
      </w:r>
      <w:r>
        <w:rPr>
          <w:rFonts w:ascii="Times New Roman" w:hAnsi="Times New Roman" w:cs="Times New Roman"/>
          <w:i/>
          <w:color w:val="000000"/>
          <w:sz w:val="20"/>
        </w:rPr>
        <w:t>possible association</w:t>
      </w:r>
      <w:r>
        <w:rPr>
          <w:rFonts w:ascii="Times New Roman" w:hAnsi="Times New Roman" w:cs="Times New Roman"/>
          <w:color w:val="000000"/>
          <w:sz w:val="20"/>
        </w:rPr>
        <w:t xml:space="preserve"> ha[d] been observed between exposure to talc and ovarian </w:t>
      </w:r>
      <w:r>
        <w:rPr>
          <w:rFonts w:ascii="Times New Roman" w:hAnsi="Times New Roman" w:cs="Times New Roman"/>
          <w:color w:val="0000FF"/>
          <w:sz w:val="20"/>
        </w:rPr>
        <w:t>cancer</w:t>
      </w:r>
      <w:r>
        <w:rPr>
          <w:rFonts w:ascii="Times New Roman" w:hAnsi="Times New Roman" w:cs="Times New Roman"/>
          <w:color w:val="000000"/>
          <w:sz w:val="20"/>
        </w:rPr>
        <w:t xml:space="preserve"> for which a causal interpretation is considered by the working group to be credible, </w:t>
      </w:r>
      <w:r>
        <w:rPr>
          <w:rFonts w:ascii="Times New Roman" w:hAnsi="Times New Roman" w:cs="Times New Roman"/>
          <w:i/>
          <w:color w:val="000000"/>
          <w:sz w:val="20"/>
        </w:rPr>
        <w:t>but chance, bias, and confounding could not be ruled out with reasonable confidence</w:t>
      </w:r>
      <w:r>
        <w:rPr>
          <w:rFonts w:ascii="Times New Roman" w:hAnsi="Times New Roman" w:cs="Times New Roman"/>
          <w:color w:val="000000"/>
          <w:sz w:val="20"/>
        </w:rPr>
        <w:t>.</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Echeverria</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37 Cal.App.5th at p. 298</w:t>
      </w:r>
      <w:r>
        <w:rPr>
          <w:rFonts w:ascii="Times New Roman" w:hAnsi="Times New Roman" w:cs="Times New Roman"/>
          <w:color w:val="000000"/>
          <w:sz w:val="20"/>
        </w:rPr>
        <w:t>, italics added.) By contrast, the IAR</w:t>
      </w:r>
      <w:r>
        <w:rPr>
          <w:rFonts w:ascii="Times New Roman" w:hAnsi="Times New Roman" w:cs="Times New Roman"/>
          <w:color w:val="000000"/>
          <w:sz w:val="20"/>
        </w:rPr>
        <w:t xml:space="preserve">C concluded that glyphosate was </w:t>
      </w:r>
      <w:r>
        <w:rPr>
          <w:rFonts w:ascii="Times New Roman" w:hAnsi="Times New Roman" w:cs="Times New Roman"/>
          <w:color w:val="000000"/>
          <w:sz w:val="20"/>
        </w:rPr>
        <w:t>“</w:t>
      </w:r>
      <w:r>
        <w:rPr>
          <w:rFonts w:ascii="Times New Roman" w:hAnsi="Times New Roman" w:cs="Times New Roman"/>
          <w:color w:val="000000"/>
          <w:sz w:val="20"/>
        </w:rPr>
        <w:t>probably carcinogenic to humans</w:t>
      </w:r>
      <w:r>
        <w:rPr>
          <w:rFonts w:ascii="Times New Roman" w:hAnsi="Times New Roman" w:cs="Times New Roman"/>
          <w:color w:val="000000"/>
          <w:sz w:val="20"/>
        </w:rPr>
        <w:t>”—</w:t>
      </w:r>
      <w:r>
        <w:rPr>
          <w:rFonts w:ascii="Times New Roman" w:hAnsi="Times New Roman" w:cs="Times New Roman"/>
          <w:color w:val="000000"/>
          <w:sz w:val="20"/>
        </w:rPr>
        <w:t xml:space="preserve">a classification </w:t>
      </w:r>
      <w:r>
        <w:rPr>
          <w:rFonts w:ascii="Times New Roman" w:hAnsi="Times New Roman" w:cs="Times New Roman"/>
          <w:color w:val="000000"/>
          <w:sz w:val="20"/>
        </w:rPr>
        <w:lastRenderedPageBreak/>
        <w:t>given to only 10 percent of the substances it studies</w:t>
      </w:r>
      <w:r>
        <w:rPr>
          <w:rFonts w:ascii="Times New Roman" w:hAnsi="Times New Roman" w:cs="Times New Roman"/>
          <w:color w:val="000000"/>
          <w:sz w:val="20"/>
        </w:rPr>
        <w:t>—</w:t>
      </w:r>
      <w:r>
        <w:rPr>
          <w:rFonts w:ascii="Times New Roman" w:hAnsi="Times New Roman" w:cs="Times New Roman"/>
          <w:color w:val="000000"/>
          <w:sz w:val="20"/>
        </w:rPr>
        <w:t>and we have had no hesitation upholding the jury</w:t>
      </w:r>
      <w:r>
        <w:rPr>
          <w:rFonts w:ascii="Times New Roman" w:hAnsi="Times New Roman" w:cs="Times New Roman"/>
          <w:color w:val="000000"/>
          <w:sz w:val="20"/>
        </w:rPr>
        <w:t>’</w:t>
      </w:r>
      <w:r>
        <w:rPr>
          <w:rFonts w:ascii="Times New Roman" w:hAnsi="Times New Roman" w:cs="Times New Roman"/>
          <w:color w:val="000000"/>
          <w:sz w:val="20"/>
        </w:rPr>
        <w:t>s causation findings.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We acknowledge, as the trial court impliedly d</w:t>
      </w:r>
      <w:r>
        <w:rPr>
          <w:rFonts w:ascii="Times New Roman" w:hAnsi="Times New Roman" w:cs="Times New Roman"/>
          <w:color w:val="000000"/>
          <w:sz w:val="20"/>
        </w:rPr>
        <w:t>id when it changed positions on the issue of punitive damages, that the question whether those damages can be sustained is a close one. One reason it is close is because, notwithstanding the IARC</w:t>
      </w:r>
      <w:r>
        <w:rPr>
          <w:rFonts w:ascii="Times New Roman" w:hAnsi="Times New Roman" w:cs="Times New Roman"/>
          <w:color w:val="000000"/>
          <w:sz w:val="20"/>
        </w:rPr>
        <w:t>’</w:t>
      </w:r>
      <w:r>
        <w:rPr>
          <w:rFonts w:ascii="Times New Roman" w:hAnsi="Times New Roman" w:cs="Times New Roman"/>
          <w:color w:val="000000"/>
          <w:sz w:val="20"/>
        </w:rPr>
        <w:t>s determination, no evidence was presented of a regulatory b</w:t>
      </w:r>
      <w:r>
        <w:rPr>
          <w:rFonts w:ascii="Times New Roman" w:hAnsi="Times New Roman" w:cs="Times New Roman"/>
          <w:color w:val="000000"/>
          <w:sz w:val="20"/>
        </w:rPr>
        <w:t xml:space="preserve">ody concluding that glyphosate or Roundup products cause </w:t>
      </w:r>
      <w:r>
        <w:rPr>
          <w:rFonts w:ascii="Times New Roman" w:hAnsi="Times New Roman" w:cs="Times New Roman"/>
          <w:color w:val="0000FF"/>
          <w:sz w:val="20"/>
        </w:rPr>
        <w:t>cancer</w:t>
      </w:r>
      <w:r>
        <w:rPr>
          <w:rFonts w:ascii="Times New Roman" w:hAnsi="Times New Roman" w:cs="Times New Roman"/>
          <w:color w:val="000000"/>
          <w:sz w:val="20"/>
        </w:rPr>
        <w:t>. But in light of all the evidence</w:t>
      </w:r>
      <w:r>
        <w:rPr>
          <w:rFonts w:ascii="Times New Roman" w:hAnsi="Times New Roman" w:cs="Times New Roman"/>
          <w:color w:val="000000"/>
          <w:sz w:val="20"/>
        </w:rPr>
        <w:t>—</w:t>
      </w:r>
      <w:r>
        <w:rPr>
          <w:rFonts w:ascii="Times New Roman" w:hAnsi="Times New Roman" w:cs="Times New Roman"/>
          <w:color w:val="000000"/>
          <w:sz w:val="20"/>
        </w:rPr>
        <w:t>including the evidence from which the jury could have inferred that Monsanto discounted legitimate questions surrounding glyphosate</w:t>
      </w:r>
      <w:r>
        <w:rPr>
          <w:rFonts w:ascii="Times New Roman" w:hAnsi="Times New Roman" w:cs="Times New Roman"/>
          <w:color w:val="000000"/>
          <w:sz w:val="20"/>
        </w:rPr>
        <w:t>’</w:t>
      </w:r>
      <w:r>
        <w:rPr>
          <w:rFonts w:ascii="Times New Roman" w:hAnsi="Times New Roman" w:cs="Times New Roman"/>
          <w:color w:val="000000"/>
          <w:sz w:val="20"/>
        </w:rPr>
        <w:t>s genotoxic effect, failed</w:t>
      </w:r>
      <w:r>
        <w:rPr>
          <w:rFonts w:ascii="Times New Roman" w:hAnsi="Times New Roman" w:cs="Times New Roman"/>
          <w:color w:val="000000"/>
          <w:sz w:val="20"/>
        </w:rPr>
        <w:t xml:space="preserve"> to conduct adequate studies, was indifferent to Johnson</w:t>
      </w:r>
      <w:r>
        <w:rPr>
          <w:rFonts w:ascii="Times New Roman" w:hAnsi="Times New Roman" w:cs="Times New Roman"/>
          <w:color w:val="000000"/>
          <w:sz w:val="20"/>
        </w:rPr>
        <w:t>’</w:t>
      </w:r>
      <w:r>
        <w:rPr>
          <w:rFonts w:ascii="Times New Roman" w:hAnsi="Times New Roman" w:cs="Times New Roman"/>
          <w:color w:val="000000"/>
          <w:sz w:val="20"/>
        </w:rPr>
        <w:t>s specific concerns, and otherwise acted to promote its products without sufficient regard to public safety</w:t>
      </w:r>
      <w:r>
        <w:rPr>
          <w:rFonts w:ascii="Times New Roman" w:hAnsi="Times New Roman" w:cs="Times New Roman"/>
          <w:color w:val="000000"/>
          <w:sz w:val="20"/>
        </w:rPr>
        <w:t>—</w:t>
      </w:r>
      <w:r>
        <w:rPr>
          <w:rFonts w:ascii="Times New Roman" w:hAnsi="Times New Roman" w:cs="Times New Roman"/>
          <w:color w:val="000000"/>
          <w:sz w:val="20"/>
        </w:rPr>
        <w:t xml:space="preserve">we agree with the trial court that </w:t>
      </w:r>
      <w:r>
        <w:rPr>
          <w:rFonts w:ascii="Times New Roman" w:hAnsi="Times New Roman" w:cs="Times New Roman"/>
          <w:color w:val="000000"/>
          <w:sz w:val="20"/>
        </w:rPr>
        <w:t>“</w:t>
      </w:r>
      <w:r>
        <w:rPr>
          <w:rFonts w:ascii="Times New Roman" w:hAnsi="Times New Roman" w:cs="Times New Roman"/>
          <w:color w:val="000000"/>
          <w:sz w:val="20"/>
        </w:rPr>
        <w:t xml:space="preserve">[t]he jury could find that the decision by Monsanto to </w:t>
      </w:r>
      <w:r>
        <w:rPr>
          <w:rFonts w:ascii="Times New Roman" w:hAnsi="Times New Roman" w:cs="Times New Roman"/>
          <w:color w:val="000000"/>
          <w:sz w:val="20"/>
        </w:rPr>
        <w:t>continue marketing GBH</w:t>
      </w:r>
      <w:r>
        <w:rPr>
          <w:rFonts w:ascii="Times New Roman" w:hAnsi="Times New Roman" w:cs="Times New Roman"/>
          <w:color w:val="000000"/>
          <w:sz w:val="20"/>
        </w:rPr>
        <w:t>’</w:t>
      </w:r>
      <w:r>
        <w:rPr>
          <w:rFonts w:ascii="Times New Roman" w:hAnsi="Times New Roman" w:cs="Times New Roman"/>
          <w:color w:val="000000"/>
          <w:sz w:val="20"/>
        </w:rPr>
        <w:t>s [glyphosate-based herbicides] notwithstanding a possible link with NHL [</w:t>
      </w:r>
      <w:r>
        <w:rPr>
          <w:rFonts w:ascii="Times New Roman" w:hAnsi="Times New Roman" w:cs="Times New Roman"/>
          <w:color w:val="0000FF"/>
          <w:sz w:val="20"/>
        </w:rPr>
        <w:t>non-Hodgkin</w:t>
      </w:r>
      <w:r>
        <w:rPr>
          <w:rFonts w:ascii="Times New Roman" w:hAnsi="Times New Roman" w:cs="Times New Roman"/>
          <w:color w:val="0000FF"/>
          <w:sz w:val="20"/>
        </w:rPr>
        <w:t>’</w:t>
      </w:r>
      <w:r>
        <w:rPr>
          <w:rFonts w:ascii="Times New Roman" w:hAnsi="Times New Roman" w:cs="Times New Roman"/>
          <w:color w:val="0000FF"/>
          <w:sz w:val="20"/>
        </w:rPr>
        <w:t>s lymphoma</w:t>
      </w:r>
      <w:r>
        <w:rPr>
          <w:rFonts w:ascii="Times New Roman" w:hAnsi="Times New Roman" w:cs="Times New Roman"/>
          <w:color w:val="000000"/>
          <w:sz w:val="20"/>
        </w:rPr>
        <w:t>] constitutes corporate malice for purposes of punitive damages.</w:t>
      </w:r>
      <w:r>
        <w:rPr>
          <w:rFonts w:ascii="Times New Roman" w:hAnsi="Times New Roman" w:cs="Times New Roman"/>
          <w:color w:val="000000"/>
          <w:sz w:val="20"/>
        </w:rPr>
        <w:t>”</w:t>
      </w:r>
      <w:bookmarkStart w:id="67" w:name="co_fnRef_B00072051484338_ID0E1ADK_1"/>
      <w:bookmarkEnd w:id="67"/>
      <w:r>
        <w:rPr>
          <w:rFonts w:ascii="Times New Roman" w:hAnsi="Times New Roman" w:cs="Times New Roman"/>
          <w:color w:val="0000FF"/>
          <w:sz w:val="16"/>
          <w:vertAlign w:val="superscript"/>
        </w:rPr>
        <w:t>6</w:t>
      </w:r>
      <w:r>
        <w:rPr>
          <w:rFonts w:ascii="Times New Roman" w:hAnsi="Times New Roman" w:cs="Times New Roman"/>
          <w:color w:val="000000"/>
          <w:sz w:val="20"/>
        </w:rPr>
        <w:t xml:space="preserve"> </w:t>
      </w:r>
      <w:r>
        <w:rPr>
          <w:rFonts w:ascii="Times New Roman" w:hAnsi="Times New Roman" w:cs="Times New Roman"/>
          <w:color w:val="000000"/>
          <w:sz w:val="20"/>
        </w:rPr>
        <w:t xml:space="preserve">Ultimately, we must agree with Johnson and the trial court that the determination of whether to award punitive damages was a question for the jury, and we will not disturb its finding given that it is supported by sufficient evidence. </w:t>
      </w:r>
      <w:r>
        <w:rPr>
          <w:rFonts w:ascii="Times New Roman" w:hAnsi="Times New Roman" w:cs="Times New Roman"/>
          <w:color w:val="000000"/>
          <w:sz w:val="20"/>
        </w:rPr>
        <w:t>“</w:t>
      </w:r>
      <w:r>
        <w:rPr>
          <w:rFonts w:ascii="Times New Roman" w:hAnsi="Times New Roman" w:cs="Times New Roman"/>
          <w:color w:val="000000"/>
          <w:sz w:val="20"/>
        </w:rPr>
        <w:t>The trial court</w:t>
      </w:r>
      <w:r>
        <w:rPr>
          <w:rFonts w:ascii="Times New Roman" w:hAnsi="Times New Roman" w:cs="Times New Roman"/>
          <w:color w:val="000000"/>
          <w:sz w:val="20"/>
        </w:rPr>
        <w:t>’</w:t>
      </w:r>
      <w:r>
        <w:rPr>
          <w:rFonts w:ascii="Times New Roman" w:hAnsi="Times New Roman" w:cs="Times New Roman"/>
          <w:color w:val="000000"/>
          <w:sz w:val="20"/>
        </w:rPr>
        <w:t>s ap</w:t>
      </w:r>
      <w:r>
        <w:rPr>
          <w:rFonts w:ascii="Times New Roman" w:hAnsi="Times New Roman" w:cs="Times New Roman"/>
          <w:color w:val="000000"/>
          <w:sz w:val="20"/>
        </w:rPr>
        <w:t>proval of the punitive damage award by denying [Monsanto] a new trial is not binding on appeal, but we must give it significant weight. We may reverse the award as excessive only if the entire record, viewed most favorably to the judgment, indicates the aw</w:t>
      </w:r>
      <w:r>
        <w:rPr>
          <w:rFonts w:ascii="Times New Roman" w:hAnsi="Times New Roman" w:cs="Times New Roman"/>
          <w:color w:val="000000"/>
          <w:sz w:val="20"/>
        </w:rPr>
        <w:t>ard was the result of passion and prejudice.</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Stevens v. Owens-Corning Fiberglas Corp.</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49 Cal.App.4th at p. 1658</w:t>
      </w:r>
      <w:r>
        <w:rPr>
          <w:rFonts w:ascii="Times New Roman" w:hAnsi="Times New Roman" w:cs="Times New Roman"/>
          <w:color w:val="000000"/>
          <w:sz w:val="20"/>
        </w:rPr>
        <w:t>.) We reject Monsanto</w:t>
      </w:r>
      <w:r>
        <w:rPr>
          <w:rFonts w:ascii="Times New Roman" w:hAnsi="Times New Roman" w:cs="Times New Roman"/>
          <w:color w:val="000000"/>
          <w:sz w:val="20"/>
        </w:rPr>
        <w:t>’</w:t>
      </w:r>
      <w:r>
        <w:rPr>
          <w:rFonts w:ascii="Times New Roman" w:hAnsi="Times New Roman" w:cs="Times New Roman"/>
          <w:color w:val="000000"/>
          <w:sz w:val="20"/>
        </w:rPr>
        <w:t>s challenge to the award because we must view the jury</w:t>
      </w:r>
      <w:r>
        <w:rPr>
          <w:rFonts w:ascii="Times New Roman" w:hAnsi="Times New Roman" w:cs="Times New Roman"/>
          <w:color w:val="000000"/>
          <w:sz w:val="20"/>
        </w:rPr>
        <w:t>’</w:t>
      </w:r>
      <w:r>
        <w:rPr>
          <w:rFonts w:ascii="Times New Roman" w:hAnsi="Times New Roman" w:cs="Times New Roman"/>
          <w:color w:val="000000"/>
          <w:sz w:val="20"/>
        </w:rPr>
        <w:t>s verdict in the light most favorable to Johnson.</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68" w:name="co_anchor_I2fcc9451cad611eaad728cad1da01"/>
      <w:bookmarkEnd w:id="68"/>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600" w:after="200"/>
        <w:jc w:val="center"/>
        <w:rPr>
          <w:rFonts w:ascii="Times New Roman" w:hAnsi="Times New Roman" w:cs="Times New Roman"/>
          <w:color w:val="000000"/>
          <w:sz w:val="20"/>
        </w:rPr>
      </w:pPr>
      <w:r>
        <w:rPr>
          <w:rFonts w:ascii="Times New Roman" w:hAnsi="Times New Roman" w:cs="Times New Roman"/>
          <w:color w:val="000000"/>
          <w:sz w:val="20"/>
        </w:rPr>
        <w:t>b. Johnson</w:t>
      </w:r>
      <w:r>
        <w:rPr>
          <w:rFonts w:ascii="Times New Roman" w:hAnsi="Times New Roman" w:cs="Times New Roman"/>
          <w:color w:val="000000"/>
          <w:sz w:val="20"/>
        </w:rPr>
        <w:t>’</w:t>
      </w:r>
      <w:r>
        <w:rPr>
          <w:rFonts w:ascii="Times New Roman" w:hAnsi="Times New Roman" w:cs="Times New Roman"/>
          <w:color w:val="000000"/>
          <w:sz w:val="20"/>
        </w:rPr>
        <w:t>s Cross-appeal.</w:t>
      </w:r>
    </w:p>
    <w:p w:rsidR="00000000" w:rsidRDefault="00A96DC8">
      <w:pPr>
        <w:autoSpaceDE w:val="0"/>
        <w:autoSpaceDN w:val="0"/>
        <w:adjustRightInd w:val="0"/>
        <w:jc w:val="both"/>
        <w:rPr>
          <w:rFonts w:ascii="Times New Roman" w:hAnsi="Times New Roman" w:cs="Times New Roman"/>
          <w:color w:val="000000"/>
          <w:sz w:val="20"/>
        </w:rPr>
      </w:pPr>
      <w:bookmarkStart w:id="69" w:name="co_pp_sp_999_34_1"/>
      <w:bookmarkEnd w:id="69"/>
      <w:r>
        <w:rPr>
          <w:rFonts w:ascii="Times New Roman" w:hAnsi="Times New Roman" w:cs="Times New Roman"/>
          <w:b/>
          <w:color w:val="000000"/>
          <w:sz w:val="20"/>
        </w:rPr>
        <w:t>*34</w:t>
      </w:r>
      <w:r>
        <w:rPr>
          <w:rFonts w:ascii="Times New Roman" w:hAnsi="Times New Roman" w:cs="Times New Roman"/>
          <w:color w:val="000000"/>
          <w:sz w:val="20"/>
        </w:rPr>
        <w:t xml:space="preserve"> Johnson also challenges the final award of punitive damages, arguing that the trial court should not have reduced t</w:t>
      </w:r>
      <w:r>
        <w:rPr>
          <w:rFonts w:ascii="Times New Roman" w:hAnsi="Times New Roman" w:cs="Times New Roman"/>
          <w:color w:val="000000"/>
          <w:sz w:val="20"/>
        </w:rPr>
        <w:t>he award. The trial court weighed the federal due process constraints on punitive damages, a question we review de novo. (</w:t>
      </w:r>
      <w:r>
        <w:rPr>
          <w:rFonts w:ascii="Times New Roman" w:hAnsi="Times New Roman" w:cs="Times New Roman"/>
          <w:i/>
          <w:color w:val="0000FF"/>
          <w:sz w:val="20"/>
        </w:rPr>
        <w:t>Simon</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35 Cal.4th at p. 1172</w:t>
      </w:r>
      <w:r>
        <w:rPr>
          <w:rFonts w:ascii="Times New Roman" w:hAnsi="Times New Roman" w:cs="Times New Roman"/>
          <w:color w:val="000000"/>
          <w:sz w:val="20"/>
        </w:rPr>
        <w:t xml:space="preserve">.) That is, we </w:t>
      </w:r>
      <w:r>
        <w:rPr>
          <w:rFonts w:ascii="Times New Roman" w:hAnsi="Times New Roman" w:cs="Times New Roman"/>
          <w:color w:val="000000"/>
          <w:sz w:val="20"/>
        </w:rPr>
        <w:t>“</w:t>
      </w:r>
      <w:r>
        <w:rPr>
          <w:rFonts w:ascii="Times New Roman" w:hAnsi="Times New Roman" w:cs="Times New Roman"/>
          <w:color w:val="000000"/>
          <w:sz w:val="20"/>
        </w:rPr>
        <w:t>mak[e] an independent assessment of the reprehensibility of the defendant</w:t>
      </w:r>
      <w:r>
        <w:rPr>
          <w:rFonts w:ascii="Times New Roman" w:hAnsi="Times New Roman" w:cs="Times New Roman"/>
          <w:color w:val="000000"/>
          <w:sz w:val="20"/>
        </w:rPr>
        <w:t>’</w:t>
      </w:r>
      <w:r>
        <w:rPr>
          <w:rFonts w:ascii="Times New Roman" w:hAnsi="Times New Roman" w:cs="Times New Roman"/>
          <w:color w:val="000000"/>
          <w:sz w:val="20"/>
        </w:rPr>
        <w:t>s conduct</w:t>
      </w:r>
      <w:r>
        <w:rPr>
          <w:rFonts w:ascii="Times New Roman" w:hAnsi="Times New Roman" w:cs="Times New Roman"/>
          <w:color w:val="000000"/>
          <w:sz w:val="20"/>
        </w:rPr>
        <w:t>, the relationship between the award and the harm done to the plaintiff, and the relationship between the award and civil penalties authorized for comparable conduct.</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00"/>
          <w:sz w:val="20"/>
        </w:rPr>
        <w:t>Ibid.</w:t>
      </w:r>
      <w:r>
        <w:rPr>
          <w:rFonts w:ascii="Times New Roman" w:hAnsi="Times New Roman" w:cs="Times New Roman"/>
          <w:color w:val="000000"/>
          <w:sz w:val="20"/>
        </w:rPr>
        <w:t xml:space="preserve">) We </w:t>
      </w:r>
      <w:r>
        <w:rPr>
          <w:rFonts w:ascii="Times New Roman" w:hAnsi="Times New Roman" w:cs="Times New Roman"/>
          <w:color w:val="000000"/>
          <w:sz w:val="20"/>
        </w:rPr>
        <w:t>agree with the trial court that although substantial evidence supported the a</w:t>
      </w:r>
      <w:r>
        <w:rPr>
          <w:rFonts w:ascii="Times New Roman" w:hAnsi="Times New Roman" w:cs="Times New Roman"/>
          <w:color w:val="000000"/>
          <w:sz w:val="20"/>
        </w:rPr>
        <w:t>ward of punitive damages, a reduction was appropriate under the facts of this case. And because we have concluded that the award of future noneconomic damages must be reduced, it follows that the award of punitive damages must be reduced as well.</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We firs</w:t>
      </w:r>
      <w:r>
        <w:rPr>
          <w:rFonts w:ascii="Times New Roman" w:hAnsi="Times New Roman" w:cs="Times New Roman"/>
          <w:color w:val="000000"/>
          <w:sz w:val="20"/>
        </w:rPr>
        <w:t>t reject Johnson</w:t>
      </w:r>
      <w:r>
        <w:rPr>
          <w:rFonts w:ascii="Times New Roman" w:hAnsi="Times New Roman" w:cs="Times New Roman"/>
          <w:color w:val="000000"/>
          <w:sz w:val="20"/>
        </w:rPr>
        <w:t>’</w:t>
      </w:r>
      <w:r>
        <w:rPr>
          <w:rFonts w:ascii="Times New Roman" w:hAnsi="Times New Roman" w:cs="Times New Roman"/>
          <w:color w:val="000000"/>
          <w:sz w:val="20"/>
        </w:rPr>
        <w:t xml:space="preserve">s brief argument that the trial court provided an inadequate explanation for reducing the award of punitive damages. True enough, when the trial courts grants a motion for new trial, </w:t>
      </w:r>
      <w:r>
        <w:rPr>
          <w:rFonts w:ascii="Times New Roman" w:hAnsi="Times New Roman" w:cs="Times New Roman"/>
          <w:color w:val="000000"/>
          <w:sz w:val="20"/>
        </w:rPr>
        <w:t>“</w:t>
      </w:r>
      <w:r>
        <w:rPr>
          <w:rFonts w:ascii="Times New Roman" w:hAnsi="Times New Roman" w:cs="Times New Roman"/>
          <w:color w:val="000000"/>
          <w:sz w:val="20"/>
        </w:rPr>
        <w:t>the court shall specify the ground or grounds upon whic</w:t>
      </w:r>
      <w:r>
        <w:rPr>
          <w:rFonts w:ascii="Times New Roman" w:hAnsi="Times New Roman" w:cs="Times New Roman"/>
          <w:color w:val="000000"/>
          <w:sz w:val="20"/>
        </w:rPr>
        <w:t>h it is granted and the court</w:t>
      </w:r>
      <w:r>
        <w:rPr>
          <w:rFonts w:ascii="Times New Roman" w:hAnsi="Times New Roman" w:cs="Times New Roman"/>
          <w:color w:val="000000"/>
          <w:sz w:val="20"/>
        </w:rPr>
        <w:t>’</w:t>
      </w:r>
      <w:r>
        <w:rPr>
          <w:rFonts w:ascii="Times New Roman" w:hAnsi="Times New Roman" w:cs="Times New Roman"/>
          <w:color w:val="000000"/>
          <w:sz w:val="20"/>
        </w:rPr>
        <w:t>s reason or reasons for granting the new trial upon each ground stated.</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FF"/>
          <w:sz w:val="20"/>
        </w:rPr>
        <w:t>Code Civ. Proc., § 657</w:t>
      </w:r>
      <w:r>
        <w:rPr>
          <w:rFonts w:ascii="Times New Roman" w:hAnsi="Times New Roman" w:cs="Times New Roman"/>
          <w:color w:val="000000"/>
          <w:sz w:val="20"/>
        </w:rPr>
        <w:t xml:space="preserve">; see also </w:t>
      </w:r>
      <w:r>
        <w:rPr>
          <w:rFonts w:ascii="Times New Roman" w:hAnsi="Times New Roman" w:cs="Times New Roman"/>
          <w:i/>
          <w:color w:val="0000FF"/>
          <w:sz w:val="20"/>
        </w:rPr>
        <w:t>Neal v. Farmers Ins. Exchange</w:t>
      </w:r>
      <w:r>
        <w:rPr>
          <w:rFonts w:ascii="Times New Roman" w:hAnsi="Times New Roman" w:cs="Times New Roman"/>
          <w:color w:val="0000FF"/>
          <w:sz w:val="20"/>
        </w:rPr>
        <w:t xml:space="preserve"> (1978) 21 Cal.3d 910, 930</w:t>
      </w:r>
      <w:r>
        <w:rPr>
          <w:rFonts w:ascii="Times New Roman" w:hAnsi="Times New Roman" w:cs="Times New Roman"/>
          <w:color w:val="0000FF"/>
          <w:sz w:val="20"/>
        </w:rPr>
        <w:t>–</w:t>
      </w:r>
      <w:r>
        <w:rPr>
          <w:rFonts w:ascii="Times New Roman" w:hAnsi="Times New Roman" w:cs="Times New Roman"/>
          <w:color w:val="0000FF"/>
          <w:sz w:val="20"/>
        </w:rPr>
        <w:t>931</w:t>
      </w:r>
      <w:r>
        <w:rPr>
          <w:rFonts w:ascii="Times New Roman" w:hAnsi="Times New Roman" w:cs="Times New Roman"/>
          <w:color w:val="000000"/>
          <w:sz w:val="20"/>
        </w:rPr>
        <w:t xml:space="preserve"> [</w:t>
      </w:r>
      <w:r>
        <w:rPr>
          <w:rFonts w:ascii="Times New Roman" w:hAnsi="Times New Roman" w:cs="Times New Roman"/>
          <w:color w:val="0000FF"/>
          <w:sz w:val="20"/>
        </w:rPr>
        <w:t>§ 657</w:t>
      </w:r>
      <w:r>
        <w:rPr>
          <w:rFonts w:ascii="Times New Roman" w:hAnsi="Times New Roman" w:cs="Times New Roman"/>
          <w:color w:val="000000"/>
          <w:sz w:val="20"/>
        </w:rPr>
        <w:t xml:space="preserve"> applies to granting motion for new trial conditioned</w:t>
      </w:r>
      <w:r>
        <w:rPr>
          <w:rFonts w:ascii="Times New Roman" w:hAnsi="Times New Roman" w:cs="Times New Roman"/>
          <w:color w:val="000000"/>
          <w:sz w:val="20"/>
        </w:rPr>
        <w:t xml:space="preserve"> on plaintiff accepting reduction in punitive damages].) But as our Supreme Court has repeatedly stated,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To avoid overtaxing our already burdened trial courts, it will be sufficient [under </w:t>
      </w:r>
      <w:r>
        <w:rPr>
          <w:rFonts w:ascii="Times New Roman" w:hAnsi="Times New Roman" w:cs="Times New Roman"/>
          <w:color w:val="0000FF"/>
          <w:sz w:val="20"/>
        </w:rPr>
        <w:t>Code of Civil Procedure section 657</w:t>
      </w:r>
      <w:r>
        <w:rPr>
          <w:rFonts w:ascii="Times New Roman" w:hAnsi="Times New Roman" w:cs="Times New Roman"/>
          <w:color w:val="000000"/>
          <w:sz w:val="20"/>
        </w:rPr>
        <w:t>] if the judge who grants a n</w:t>
      </w:r>
      <w:r>
        <w:rPr>
          <w:rFonts w:ascii="Times New Roman" w:hAnsi="Times New Roman" w:cs="Times New Roman"/>
          <w:color w:val="000000"/>
          <w:sz w:val="20"/>
        </w:rPr>
        <w:t>ew trial furnishes a concise but clear statement of the reasons why he [or she] finds one or more of the grounds of the motion applicable to the case before him [or her]. No hard and fast rule can be laid down as to the content of such a specification, and</w:t>
      </w:r>
      <w:r>
        <w:rPr>
          <w:rFonts w:ascii="Times New Roman" w:hAnsi="Times New Roman" w:cs="Times New Roman"/>
          <w:color w:val="000000"/>
          <w:sz w:val="20"/>
        </w:rPr>
        <w:t xml:space="preserve"> it will necessarily vary according to the facts and circumstances of each case.</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00"/>
          <w:sz w:val="20"/>
        </w:rPr>
        <w:t>Neal</w:t>
      </w:r>
      <w:r>
        <w:rPr>
          <w:rFonts w:ascii="Times New Roman" w:hAnsi="Times New Roman" w:cs="Times New Roman"/>
          <w:color w:val="000000"/>
          <w:sz w:val="20"/>
        </w:rPr>
        <w:t>, at pp. 931</w:t>
      </w:r>
      <w:r>
        <w:rPr>
          <w:rFonts w:ascii="Times New Roman" w:hAnsi="Times New Roman" w:cs="Times New Roman"/>
          <w:color w:val="000000"/>
          <w:sz w:val="20"/>
        </w:rPr>
        <w:t>–</w:t>
      </w:r>
      <w:r>
        <w:rPr>
          <w:rFonts w:ascii="Times New Roman" w:hAnsi="Times New Roman" w:cs="Times New Roman"/>
          <w:color w:val="000000"/>
          <w:sz w:val="20"/>
        </w:rPr>
        <w:t xml:space="preserve">932, quoting </w:t>
      </w:r>
      <w:r>
        <w:rPr>
          <w:rFonts w:ascii="Times New Roman" w:hAnsi="Times New Roman" w:cs="Times New Roman"/>
          <w:i/>
          <w:color w:val="0000FF"/>
          <w:sz w:val="20"/>
        </w:rPr>
        <w:t>Mercer v. Perez</w:t>
      </w:r>
      <w:r>
        <w:rPr>
          <w:rFonts w:ascii="Times New Roman" w:hAnsi="Times New Roman" w:cs="Times New Roman"/>
          <w:color w:val="0000FF"/>
          <w:sz w:val="20"/>
        </w:rPr>
        <w:t xml:space="preserve"> (1968) 68 Cal.2d 104, 115</w:t>
      </w:r>
      <w:r>
        <w:rPr>
          <w:rFonts w:ascii="Times New Roman" w:hAnsi="Times New Roman" w:cs="Times New Roman"/>
          <w:color w:val="000000"/>
          <w:sz w:val="20"/>
        </w:rPr>
        <w:t xml:space="preserve">.) In </w:t>
      </w:r>
      <w:r>
        <w:rPr>
          <w:rFonts w:ascii="Times New Roman" w:hAnsi="Times New Roman" w:cs="Times New Roman"/>
          <w:i/>
          <w:color w:val="000000"/>
          <w:sz w:val="20"/>
        </w:rPr>
        <w:t>Neal</w:t>
      </w:r>
      <w:r>
        <w:rPr>
          <w:rFonts w:ascii="Times New Roman" w:hAnsi="Times New Roman" w:cs="Times New Roman"/>
          <w:color w:val="000000"/>
          <w:sz w:val="20"/>
        </w:rPr>
        <w:t xml:space="preserve">, the court found it sufficient for the trial court to refer to aspects of the trial that </w:t>
      </w:r>
      <w:r>
        <w:rPr>
          <w:rFonts w:ascii="Times New Roman" w:hAnsi="Times New Roman" w:cs="Times New Roman"/>
          <w:color w:val="000000"/>
          <w:sz w:val="20"/>
        </w:rPr>
        <w:t>in its view led to the jury inflating the award of punitive damages and to analyze the guidelines for the assessment of damages in light of an alleged excessive amount. (</w:t>
      </w:r>
      <w:r>
        <w:rPr>
          <w:rFonts w:ascii="Times New Roman" w:hAnsi="Times New Roman" w:cs="Times New Roman"/>
          <w:i/>
          <w:color w:val="000000"/>
          <w:sz w:val="20"/>
        </w:rPr>
        <w:t>Neal</w:t>
      </w:r>
      <w:r>
        <w:rPr>
          <w:rFonts w:ascii="Times New Roman" w:hAnsi="Times New Roman" w:cs="Times New Roman"/>
          <w:color w:val="000000"/>
          <w:sz w:val="20"/>
        </w:rPr>
        <w:t>, at p. 932.) Here, the trial court analyzed the factors for reducing what it cons</w:t>
      </w:r>
      <w:r>
        <w:rPr>
          <w:rFonts w:ascii="Times New Roman" w:hAnsi="Times New Roman" w:cs="Times New Roman"/>
          <w:color w:val="000000"/>
          <w:sz w:val="20"/>
        </w:rPr>
        <w:t xml:space="preserve">idered to be an unconstitutionally excessive award. Although the trial court might ideally have provided more detail, its order met the requirements of </w:t>
      </w:r>
      <w:r>
        <w:rPr>
          <w:rFonts w:ascii="Times New Roman" w:hAnsi="Times New Roman" w:cs="Times New Roman"/>
          <w:color w:val="0000FF"/>
          <w:sz w:val="20"/>
        </w:rPr>
        <w:t>section 657</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As for the merits, Johnson argues that the trial court improperly reduced the amount of p</w:t>
      </w:r>
      <w:r>
        <w:rPr>
          <w:rFonts w:ascii="Times New Roman" w:hAnsi="Times New Roman" w:cs="Times New Roman"/>
          <w:color w:val="000000"/>
          <w:sz w:val="20"/>
        </w:rPr>
        <w:t xml:space="preserve">unitive damages to be the same as compensatory damages. The trial court analyzed the three factors for determining the constitutional upper limit of punitive damages set forth in </w:t>
      </w:r>
      <w:r>
        <w:rPr>
          <w:rFonts w:ascii="Times New Roman" w:hAnsi="Times New Roman" w:cs="Times New Roman"/>
          <w:i/>
          <w:color w:val="0000FF"/>
          <w:sz w:val="20"/>
        </w:rPr>
        <w:t>State Farm Mut. Auto. Ins. Co. v. Campbell</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538 U.S. 408</w:t>
      </w:r>
      <w:r>
        <w:rPr>
          <w:rFonts w:ascii="Times New Roman" w:hAnsi="Times New Roman" w:cs="Times New Roman"/>
          <w:color w:val="000000"/>
          <w:sz w:val="20"/>
        </w:rPr>
        <w:t>: (1) the degr</w:t>
      </w:r>
      <w:r>
        <w:rPr>
          <w:rFonts w:ascii="Times New Roman" w:hAnsi="Times New Roman" w:cs="Times New Roman"/>
          <w:color w:val="000000"/>
          <w:sz w:val="20"/>
        </w:rPr>
        <w:t>ee of reprehensibility of defendant</w:t>
      </w:r>
      <w:r>
        <w:rPr>
          <w:rFonts w:ascii="Times New Roman" w:hAnsi="Times New Roman" w:cs="Times New Roman"/>
          <w:color w:val="000000"/>
          <w:sz w:val="20"/>
        </w:rPr>
        <w:t>’</w:t>
      </w:r>
      <w:r>
        <w:rPr>
          <w:rFonts w:ascii="Times New Roman" w:hAnsi="Times New Roman" w:cs="Times New Roman"/>
          <w:color w:val="000000"/>
          <w:sz w:val="20"/>
        </w:rPr>
        <w:t>s misconduct, (2) the disparity between the harm plaintiff suffered and the punitive-damages award, and (3) the difference between the punitive damages awarded by the jury and awards authorized in comparable cases. (</w:t>
      </w:r>
      <w:r>
        <w:rPr>
          <w:rFonts w:ascii="Times New Roman" w:hAnsi="Times New Roman" w:cs="Times New Roman"/>
          <w:i/>
          <w:color w:val="000000"/>
          <w:sz w:val="20"/>
        </w:rPr>
        <w:t>Id.</w:t>
      </w:r>
      <w:r>
        <w:rPr>
          <w:rFonts w:ascii="Times New Roman" w:hAnsi="Times New Roman" w:cs="Times New Roman"/>
          <w:color w:val="000000"/>
          <w:sz w:val="20"/>
        </w:rPr>
        <w:t xml:space="preserve"> </w:t>
      </w:r>
      <w:r>
        <w:rPr>
          <w:rFonts w:ascii="Times New Roman" w:hAnsi="Times New Roman" w:cs="Times New Roman"/>
          <w:color w:val="000000"/>
          <w:sz w:val="20"/>
        </w:rPr>
        <w:t xml:space="preserve">at p. 518; see also </w:t>
      </w:r>
      <w:r>
        <w:rPr>
          <w:rFonts w:ascii="Times New Roman" w:hAnsi="Times New Roman" w:cs="Times New Roman"/>
          <w:i/>
          <w:color w:val="0000FF"/>
          <w:sz w:val="20"/>
        </w:rPr>
        <w:t>Simon</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35 Cal.4th at p. 1172</w:t>
      </w:r>
      <w:r>
        <w:rPr>
          <w:rFonts w:ascii="Times New Roman" w:hAnsi="Times New Roman" w:cs="Times New Roman"/>
          <w:color w:val="000000"/>
          <w:sz w:val="20"/>
        </w:rPr>
        <w:t xml:space="preserve">.) The court concluded that where, as here, </w:t>
      </w:r>
      <w:r>
        <w:rPr>
          <w:rFonts w:ascii="Times New Roman" w:hAnsi="Times New Roman" w:cs="Times New Roman"/>
          <w:color w:val="000000"/>
          <w:sz w:val="20"/>
        </w:rPr>
        <w:t>“</w:t>
      </w:r>
      <w:r>
        <w:rPr>
          <w:rFonts w:ascii="Times New Roman" w:hAnsi="Times New Roman" w:cs="Times New Roman"/>
          <w:color w:val="000000"/>
          <w:sz w:val="20"/>
        </w:rPr>
        <w:t>there is a punitive element to the compensatory damages award, the law supports a one to one ratio for punitive damages.</w:t>
      </w:r>
      <w:r>
        <w:rPr>
          <w:rFonts w:ascii="Times New Roman" w:hAnsi="Times New Roman" w:cs="Times New Roman"/>
          <w:color w:val="000000"/>
          <w:sz w:val="20"/>
        </w:rPr>
        <w:t>”</w:t>
      </w:r>
      <w:r>
        <w:rPr>
          <w:rFonts w:ascii="Times New Roman" w:hAnsi="Times New Roman" w:cs="Times New Roman"/>
          <w:color w:val="000000"/>
          <w:sz w:val="20"/>
        </w:rPr>
        <w:t xml:space="preserve"> We agree with Johnson to the exten</w:t>
      </w:r>
      <w:r>
        <w:rPr>
          <w:rFonts w:ascii="Times New Roman" w:hAnsi="Times New Roman" w:cs="Times New Roman"/>
          <w:color w:val="000000"/>
          <w:sz w:val="20"/>
        </w:rPr>
        <w:t xml:space="preserve">t he argues that there is no </w:t>
      </w:r>
      <w:r>
        <w:rPr>
          <w:rFonts w:ascii="Times New Roman" w:hAnsi="Times New Roman" w:cs="Times New Roman"/>
          <w:color w:val="000000"/>
          <w:sz w:val="20"/>
        </w:rPr>
        <w:lastRenderedPageBreak/>
        <w:t>fixed formula that requires a court to set punitive damages equal to compensatory damages. (</w:t>
      </w:r>
      <w:r>
        <w:rPr>
          <w:rFonts w:ascii="Times New Roman" w:hAnsi="Times New Roman" w:cs="Times New Roman"/>
          <w:i/>
          <w:color w:val="0000FF"/>
          <w:sz w:val="20"/>
        </w:rPr>
        <w:t>Bullock v. Philip Morris USA, Inc.</w:t>
      </w:r>
      <w:r>
        <w:rPr>
          <w:rFonts w:ascii="Times New Roman" w:hAnsi="Times New Roman" w:cs="Times New Roman"/>
          <w:color w:val="0000FF"/>
          <w:sz w:val="20"/>
        </w:rPr>
        <w:t xml:space="preserve"> (2011) 198 Cal.App.4th 543, 569</w:t>
      </w:r>
      <w:r>
        <w:rPr>
          <w:rFonts w:ascii="Times New Roman" w:hAnsi="Times New Roman" w:cs="Times New Roman"/>
          <w:color w:val="000000"/>
          <w:sz w:val="20"/>
        </w:rPr>
        <w:t xml:space="preserve"> [no </w:t>
      </w:r>
      <w:r>
        <w:rPr>
          <w:rFonts w:ascii="Times New Roman" w:hAnsi="Times New Roman" w:cs="Times New Roman"/>
          <w:color w:val="000000"/>
          <w:sz w:val="20"/>
        </w:rPr>
        <w:t>“</w:t>
      </w:r>
      <w:r>
        <w:rPr>
          <w:rFonts w:ascii="Times New Roman" w:hAnsi="Times New Roman" w:cs="Times New Roman"/>
          <w:color w:val="000000"/>
          <w:sz w:val="20"/>
        </w:rPr>
        <w:t>emerging consensus</w:t>
      </w:r>
      <w:r>
        <w:rPr>
          <w:rFonts w:ascii="Times New Roman" w:hAnsi="Times New Roman" w:cs="Times New Roman"/>
          <w:color w:val="000000"/>
          <w:sz w:val="20"/>
        </w:rPr>
        <w:t>”</w:t>
      </w:r>
      <w:r>
        <w:rPr>
          <w:rFonts w:ascii="Times New Roman" w:hAnsi="Times New Roman" w:cs="Times New Roman"/>
          <w:color w:val="000000"/>
          <w:sz w:val="20"/>
        </w:rPr>
        <w:t xml:space="preserve"> to trigger 1:1 upper limit on punitive damages where compensatory damages are in six-figure range].) But we find no error for the trial court to determine </w:t>
      </w:r>
      <w:r>
        <w:rPr>
          <w:rFonts w:ascii="Times New Roman" w:hAnsi="Times New Roman" w:cs="Times New Roman"/>
          <w:i/>
          <w:color w:val="000000"/>
          <w:sz w:val="20"/>
        </w:rPr>
        <w:t>in this case</w:t>
      </w:r>
      <w:r>
        <w:rPr>
          <w:rFonts w:ascii="Times New Roman" w:hAnsi="Times New Roman" w:cs="Times New Roman"/>
          <w:color w:val="000000"/>
          <w:sz w:val="20"/>
        </w:rPr>
        <w:t xml:space="preserve"> that a 1:1 limit was appropriate.</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70" w:name="co_pp_sp_999_35_1"/>
      <w:bookmarkEnd w:id="70"/>
      <w:r>
        <w:rPr>
          <w:rFonts w:ascii="Times New Roman" w:hAnsi="Times New Roman" w:cs="Times New Roman"/>
          <w:b/>
          <w:color w:val="000000"/>
          <w:sz w:val="20"/>
        </w:rPr>
        <w:t>*35</w:t>
      </w:r>
      <w:r>
        <w:rPr>
          <w:rFonts w:ascii="Times New Roman" w:hAnsi="Times New Roman" w:cs="Times New Roman"/>
          <w:color w:val="000000"/>
          <w:sz w:val="20"/>
        </w:rPr>
        <w:t xml:space="preserve"> Given that we</w:t>
      </w:r>
      <w:r>
        <w:rPr>
          <w:rFonts w:ascii="Times New Roman" w:hAnsi="Times New Roman" w:cs="Times New Roman"/>
          <w:color w:val="000000"/>
          <w:sz w:val="20"/>
        </w:rPr>
        <w:t xml:space="preserve"> have reduced the award of future noneconomic damages and also agree with the trial court that a 1:1 ratio was appropriate, we further reduce the award so that it maintains a 1:1 ratio with the reduced compensatory damages. </w:t>
      </w:r>
      <w:r>
        <w:rPr>
          <w:rFonts w:ascii="Times New Roman" w:hAnsi="Times New Roman" w:cs="Times New Roman"/>
          <w:color w:val="000000"/>
          <w:sz w:val="20"/>
        </w:rPr>
        <w:t>“</w:t>
      </w:r>
      <w:r>
        <w:rPr>
          <w:rFonts w:ascii="Times New Roman" w:hAnsi="Times New Roman" w:cs="Times New Roman"/>
          <w:color w:val="000000"/>
          <w:sz w:val="20"/>
        </w:rPr>
        <w:t>To state a particular level bey</w:t>
      </w:r>
      <w:r>
        <w:rPr>
          <w:rFonts w:ascii="Times New Roman" w:hAnsi="Times New Roman" w:cs="Times New Roman"/>
          <w:color w:val="000000"/>
          <w:sz w:val="20"/>
        </w:rPr>
        <w:t xml:space="preserve">ond which punitive damages in a given case would be grossly excessive, and hence unconstitutionally arbitrary, </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is not an enviable task.... In the last analysis, an appellate panel, convinced it must reduce an award of punitive damages, must rely on its </w:t>
      </w:r>
      <w:r>
        <w:rPr>
          <w:rFonts w:ascii="Times New Roman" w:hAnsi="Times New Roman" w:cs="Times New Roman"/>
          <w:color w:val="000000"/>
          <w:sz w:val="20"/>
        </w:rPr>
        <w:t>combined experience and judgment.</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color w:val="000000"/>
          <w:sz w:val="20"/>
        </w:rPr>
        <w:t>’</w:t>
      </w:r>
      <w:r>
        <w:rPr>
          <w:rFonts w:ascii="Times New Roman" w:hAnsi="Times New Roman" w:cs="Times New Roman"/>
          <w:color w:val="000000"/>
          <w:sz w:val="20"/>
        </w:rPr>
        <w:t xml:space="preserve"> [Citation.] The high court</w:t>
      </w:r>
      <w:r>
        <w:rPr>
          <w:rFonts w:ascii="Times New Roman" w:hAnsi="Times New Roman" w:cs="Times New Roman"/>
          <w:color w:val="000000"/>
          <w:sz w:val="20"/>
        </w:rPr>
        <w:t>’</w:t>
      </w:r>
      <w:r>
        <w:rPr>
          <w:rFonts w:ascii="Times New Roman" w:hAnsi="Times New Roman" w:cs="Times New Roman"/>
          <w:color w:val="000000"/>
          <w:sz w:val="20"/>
        </w:rPr>
        <w:t xml:space="preserve">s due process analysis does not easily yield an exact figure: we must attempt to arrive at such a number using imprecisely determined facts and </w:t>
      </w:r>
      <w:r>
        <w:rPr>
          <w:rFonts w:ascii="Times New Roman" w:hAnsi="Times New Roman" w:cs="Times New Roman"/>
          <w:color w:val="000000"/>
          <w:sz w:val="20"/>
        </w:rPr>
        <w:t>‘</w:t>
      </w:r>
      <w:r>
        <w:rPr>
          <w:rFonts w:ascii="Times New Roman" w:hAnsi="Times New Roman" w:cs="Times New Roman"/>
          <w:color w:val="000000"/>
          <w:sz w:val="20"/>
        </w:rPr>
        <w:t>applying guidelines that contain no absolutes.</w:t>
      </w:r>
      <w:r>
        <w:rPr>
          <w:rFonts w:ascii="Times New Roman" w:hAnsi="Times New Roman" w:cs="Times New Roman"/>
          <w:color w:val="000000"/>
          <w:sz w:val="20"/>
        </w:rPr>
        <w:t>’</w:t>
      </w:r>
      <w:r>
        <w:rPr>
          <w:rFonts w:ascii="Times New Roman" w:hAnsi="Times New Roman" w:cs="Times New Roman"/>
          <w:color w:val="000000"/>
          <w:sz w:val="20"/>
        </w:rPr>
        <w:t xml:space="preserve"> [Citation.] An appellate court should keep in mind, as well, that its constitutional mission ... is not to find the </w:t>
      </w:r>
      <w:r>
        <w:rPr>
          <w:rFonts w:ascii="Times New Roman" w:hAnsi="Times New Roman" w:cs="Times New Roman"/>
          <w:color w:val="000000"/>
          <w:sz w:val="20"/>
        </w:rPr>
        <w:t>‘</w:t>
      </w:r>
      <w:r>
        <w:rPr>
          <w:rFonts w:ascii="Times New Roman" w:hAnsi="Times New Roman" w:cs="Times New Roman"/>
          <w:color w:val="000000"/>
          <w:sz w:val="20"/>
        </w:rPr>
        <w:t>right</w:t>
      </w:r>
      <w:r>
        <w:rPr>
          <w:rFonts w:ascii="Times New Roman" w:hAnsi="Times New Roman" w:cs="Times New Roman"/>
          <w:color w:val="000000"/>
          <w:sz w:val="20"/>
        </w:rPr>
        <w:t>’</w:t>
      </w:r>
      <w:r>
        <w:rPr>
          <w:rFonts w:ascii="Times New Roman" w:hAnsi="Times New Roman" w:cs="Times New Roman"/>
          <w:color w:val="000000"/>
          <w:sz w:val="20"/>
        </w:rPr>
        <w:t xml:space="preserve"> level in the court</w:t>
      </w:r>
      <w:r>
        <w:rPr>
          <w:rFonts w:ascii="Times New Roman" w:hAnsi="Times New Roman" w:cs="Times New Roman"/>
          <w:color w:val="000000"/>
          <w:sz w:val="20"/>
        </w:rPr>
        <w:t>’</w:t>
      </w:r>
      <w:r>
        <w:rPr>
          <w:rFonts w:ascii="Times New Roman" w:hAnsi="Times New Roman" w:cs="Times New Roman"/>
          <w:color w:val="000000"/>
          <w:sz w:val="20"/>
        </w:rPr>
        <w:t>s own view. While we must ... assess independently the wrongfulness of a defendant</w:t>
      </w:r>
      <w:r>
        <w:rPr>
          <w:rFonts w:ascii="Times New Roman" w:hAnsi="Times New Roman" w:cs="Times New Roman"/>
          <w:color w:val="000000"/>
          <w:sz w:val="20"/>
        </w:rPr>
        <w:t>’</w:t>
      </w:r>
      <w:r>
        <w:rPr>
          <w:rFonts w:ascii="Times New Roman" w:hAnsi="Times New Roman" w:cs="Times New Roman"/>
          <w:color w:val="000000"/>
          <w:sz w:val="20"/>
        </w:rPr>
        <w:t xml:space="preserve">s conduct, our determination </w:t>
      </w:r>
      <w:r>
        <w:rPr>
          <w:rFonts w:ascii="Times New Roman" w:hAnsi="Times New Roman" w:cs="Times New Roman"/>
          <w:color w:val="000000"/>
          <w:sz w:val="20"/>
        </w:rPr>
        <w:t>of a maximum award should allow some leeway for the possibility of reasonable differences in the weighing of culpability. In enforcing federal due process limits, an appellate court does not sit as a replacement for the jury but only as a check on arbitrar</w:t>
      </w:r>
      <w:r>
        <w:rPr>
          <w:rFonts w:ascii="Times New Roman" w:hAnsi="Times New Roman" w:cs="Times New Roman"/>
          <w:color w:val="000000"/>
          <w:sz w:val="20"/>
        </w:rPr>
        <w:t>y awards.</w:t>
      </w:r>
      <w:r>
        <w:rPr>
          <w:rFonts w:ascii="Times New Roman" w:hAnsi="Times New Roman" w:cs="Times New Roman"/>
          <w:color w:val="000000"/>
          <w:sz w:val="20"/>
        </w:rPr>
        <w:t>”</w:t>
      </w:r>
      <w:r>
        <w:rPr>
          <w:rFonts w:ascii="Times New Roman" w:hAnsi="Times New Roman" w:cs="Times New Roman"/>
          <w:color w:val="000000"/>
          <w:sz w:val="20"/>
        </w:rPr>
        <w:t xml:space="preserve"> (</w:t>
      </w:r>
      <w:r>
        <w:rPr>
          <w:rFonts w:ascii="Times New Roman" w:hAnsi="Times New Roman" w:cs="Times New Roman"/>
          <w:i/>
          <w:color w:val="0000FF"/>
          <w:sz w:val="20"/>
        </w:rPr>
        <w:t>Simon</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35 Cal.4th at p. 1188</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We recognize that we could remand to the trial court to reassess the constitutionally allowed maximum award. (</w:t>
      </w:r>
      <w:r>
        <w:rPr>
          <w:rFonts w:ascii="Times New Roman" w:hAnsi="Times New Roman" w:cs="Times New Roman"/>
          <w:i/>
          <w:color w:val="0000FF"/>
          <w:sz w:val="20"/>
        </w:rPr>
        <w:t>Simon</w:t>
      </w:r>
      <w:r>
        <w:rPr>
          <w:rFonts w:ascii="Times New Roman" w:hAnsi="Times New Roman" w:cs="Times New Roman"/>
          <w:color w:val="0000FF"/>
          <w:sz w:val="20"/>
        </w:rPr>
        <w:t xml:space="preserve">, </w:t>
      </w:r>
      <w:r>
        <w:rPr>
          <w:rFonts w:ascii="Times New Roman" w:hAnsi="Times New Roman" w:cs="Times New Roman"/>
          <w:i/>
          <w:color w:val="0000FF"/>
          <w:sz w:val="20"/>
        </w:rPr>
        <w:t>supra</w:t>
      </w:r>
      <w:r>
        <w:rPr>
          <w:rFonts w:ascii="Times New Roman" w:hAnsi="Times New Roman" w:cs="Times New Roman"/>
          <w:color w:val="0000FF"/>
          <w:sz w:val="20"/>
        </w:rPr>
        <w:t>, 35 Cal.4th at p. 1187</w:t>
      </w:r>
      <w:r>
        <w:rPr>
          <w:rFonts w:ascii="Times New Roman" w:hAnsi="Times New Roman" w:cs="Times New Roman"/>
          <w:color w:val="000000"/>
          <w:sz w:val="20"/>
        </w:rPr>
        <w:t xml:space="preserve">.) But given the time-sensitive nature of this case </w:t>
      </w:r>
      <w:r>
        <w:rPr>
          <w:rFonts w:ascii="Times New Roman" w:hAnsi="Times New Roman" w:cs="Times New Roman"/>
          <w:color w:val="000000"/>
          <w:sz w:val="20"/>
        </w:rPr>
        <w:t>“</w:t>
      </w:r>
      <w:r>
        <w:rPr>
          <w:rFonts w:ascii="Times New Roman" w:hAnsi="Times New Roman" w:cs="Times New Roman"/>
          <w:color w:val="000000"/>
          <w:sz w:val="20"/>
        </w:rPr>
        <w:t>we believe the better course is for this court itself to determine the maximum punitive damages award that satisfies the constraints of due process and to order the judgment reduced accordingly,</w:t>
      </w:r>
      <w:r>
        <w:rPr>
          <w:rFonts w:ascii="Times New Roman" w:hAnsi="Times New Roman" w:cs="Times New Roman"/>
          <w:color w:val="000000"/>
          <w:sz w:val="20"/>
        </w:rPr>
        <w:t>”</w:t>
      </w:r>
      <w:r>
        <w:rPr>
          <w:rFonts w:ascii="Times New Roman" w:hAnsi="Times New Roman" w:cs="Times New Roman"/>
          <w:color w:val="000000"/>
          <w:sz w:val="20"/>
        </w:rPr>
        <w:t xml:space="preserve"> without the need for a remittitur. (</w:t>
      </w:r>
      <w:r>
        <w:rPr>
          <w:rFonts w:ascii="Times New Roman" w:hAnsi="Times New Roman" w:cs="Times New Roman"/>
          <w:i/>
          <w:color w:val="000000"/>
          <w:sz w:val="20"/>
        </w:rPr>
        <w:t>Ibid.</w:t>
      </w:r>
      <w:r>
        <w:rPr>
          <w:rFonts w:ascii="Times New Roman" w:hAnsi="Times New Roman" w:cs="Times New Roman"/>
          <w:color w:val="000000"/>
          <w:sz w:val="20"/>
        </w:rPr>
        <w: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71" w:name="co_anchor_I2fd2fcf1cad611eaad728cad1da01"/>
      <w:bookmarkEnd w:id="71"/>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400"/>
        <w:ind w:left="200"/>
        <w:rPr>
          <w:rFonts w:ascii="Times New Roman" w:hAnsi="Times New Roman" w:cs="Times New Roman"/>
          <w:i/>
          <w:color w:val="000000"/>
          <w:sz w:val="20"/>
        </w:rPr>
      </w:pPr>
      <w:r>
        <w:rPr>
          <w:rFonts w:ascii="Times New Roman" w:hAnsi="Times New Roman" w:cs="Times New Roman"/>
          <w:i/>
          <w:color w:val="000000"/>
          <w:sz w:val="20"/>
        </w:rPr>
        <w:t>D. Johnson Was Properly Awarded Costs.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The parties stipulated below to a costs award to Johnson of $519,772.18, and Monsanto separately appealed from that order in A155940. It argues that i</w:t>
      </w:r>
      <w:r>
        <w:rPr>
          <w:rFonts w:ascii="Times New Roman" w:hAnsi="Times New Roman" w:cs="Times New Roman"/>
          <w:color w:val="000000"/>
          <w:sz w:val="20"/>
        </w:rPr>
        <w:t xml:space="preserve">f the court reverses the judgment or remands for a new trial, the court should also vacate the costs award. Although we have concluded that a reduction in the damages awarded is appropriate, we do not otherwise reverse the judgment. It follows that </w:t>
      </w:r>
      <w:r>
        <w:rPr>
          <w:rFonts w:ascii="Times New Roman" w:hAnsi="Times New Roman" w:cs="Times New Roman"/>
          <w:color w:val="000000"/>
          <w:sz w:val="20"/>
        </w:rPr>
        <w:t>the awa</w:t>
      </w:r>
      <w:r>
        <w:rPr>
          <w:rFonts w:ascii="Times New Roman" w:hAnsi="Times New Roman" w:cs="Times New Roman"/>
          <w:color w:val="000000"/>
          <w:sz w:val="20"/>
        </w:rPr>
        <w:t>rd of costs stands.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bookmarkStart w:id="72" w:name="co_anchor_I2fd39931cad611eaad728cad1da01"/>
      <w:bookmarkEnd w:id="72"/>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600" w:after="200"/>
        <w:jc w:val="center"/>
        <w:rPr>
          <w:rFonts w:ascii="Times New Roman" w:hAnsi="Times New Roman" w:cs="Times New Roman"/>
          <w:color w:val="000000"/>
          <w:sz w:val="20"/>
        </w:rPr>
      </w:pPr>
      <w:r>
        <w:rPr>
          <w:rFonts w:ascii="Times New Roman" w:hAnsi="Times New Roman" w:cs="Times New Roman"/>
          <w:color w:val="000000"/>
          <w:sz w:val="20"/>
        </w:rPr>
        <w:t>III.</w:t>
      </w:r>
    </w:p>
    <w:p w:rsidR="00000000" w:rsidRDefault="00A96DC8">
      <w:pPr>
        <w:autoSpaceDE w:val="0"/>
        <w:autoSpaceDN w:val="0"/>
        <w:adjustRightInd w:val="0"/>
        <w:jc w:val="both"/>
        <w:rPr>
          <w:rFonts w:ascii="Times New Roman" w:hAnsi="Times New Roman" w:cs="Times New Roman"/>
          <w:color w:val="000000"/>
          <w:sz w:val="20"/>
        </w:rPr>
      </w:pPr>
    </w:p>
    <w:p w:rsidR="00000000" w:rsidRDefault="00A96DC8">
      <w:pPr>
        <w:autoSpaceDE w:val="0"/>
        <w:autoSpaceDN w:val="0"/>
        <w:adjustRightInd w:val="0"/>
        <w:spacing w:before="600" w:after="200"/>
        <w:jc w:val="center"/>
        <w:rPr>
          <w:rFonts w:ascii="Times New Roman" w:hAnsi="Times New Roman" w:cs="Times New Roman"/>
          <w:color w:val="000000"/>
          <w:sz w:val="20"/>
        </w:rPr>
      </w:pPr>
      <w:r>
        <w:rPr>
          <w:rFonts w:ascii="Times New Roman" w:hAnsi="Times New Roman" w:cs="Times New Roman"/>
          <w:color w:val="000000"/>
          <w:sz w:val="20"/>
        </w:rPr>
        <w:t>DISPOSITION</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In A155940, the judgment as to Johnson</w:t>
      </w:r>
      <w:r>
        <w:rPr>
          <w:rFonts w:ascii="Times New Roman" w:hAnsi="Times New Roman" w:cs="Times New Roman"/>
          <w:color w:val="000000"/>
          <w:sz w:val="20"/>
        </w:rPr>
        <w:t>’</w:t>
      </w:r>
      <w:r>
        <w:rPr>
          <w:rFonts w:ascii="Times New Roman" w:hAnsi="Times New Roman" w:cs="Times New Roman"/>
          <w:color w:val="000000"/>
          <w:sz w:val="20"/>
        </w:rPr>
        <w:t>s future noneconomic compensatory damages is reversed. The jury</w:t>
      </w:r>
      <w:r>
        <w:rPr>
          <w:rFonts w:ascii="Times New Roman" w:hAnsi="Times New Roman" w:cs="Times New Roman"/>
          <w:color w:val="000000"/>
          <w:sz w:val="20"/>
        </w:rPr>
        <w:t>’</w:t>
      </w:r>
      <w:r>
        <w:rPr>
          <w:rFonts w:ascii="Times New Roman" w:hAnsi="Times New Roman" w:cs="Times New Roman"/>
          <w:color w:val="000000"/>
          <w:sz w:val="20"/>
        </w:rPr>
        <w:t>s future noneconomic compensato</w:t>
      </w:r>
      <w:r>
        <w:rPr>
          <w:rFonts w:ascii="Times New Roman" w:hAnsi="Times New Roman" w:cs="Times New Roman"/>
          <w:color w:val="000000"/>
          <w:sz w:val="20"/>
        </w:rPr>
        <w:t>ry damages award is reduced to $4 million, which results in a total reduced award of $10,253,209.32 in compensatory damages. The judgment is further modified to reduce the award of punitive damages to $10,253,209.32.</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In A156706, the order awarding costs </w:t>
      </w:r>
      <w:r>
        <w:rPr>
          <w:rFonts w:ascii="Times New Roman" w:hAnsi="Times New Roman" w:cs="Times New Roman"/>
          <w:color w:val="000000"/>
          <w:sz w:val="20"/>
        </w:rPr>
        <w:t>is affirmed.</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Each side shall bear its own costs on appeal.</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spacing w:before="600"/>
        <w:jc w:val="both"/>
        <w:rPr>
          <w:rFonts w:ascii="Times New Roman" w:hAnsi="Times New Roman" w:cs="Times New Roman"/>
          <w:color w:val="000000"/>
          <w:sz w:val="20"/>
        </w:rPr>
      </w:pPr>
      <w:r>
        <w:rPr>
          <w:rFonts w:ascii="Times New Roman" w:hAnsi="Times New Roman" w:cs="Times New Roman"/>
          <w:color w:val="000000"/>
          <w:sz w:val="20"/>
        </w:rPr>
        <w:t>WE CONCUR:</w:t>
      </w:r>
    </w:p>
    <w:p w:rsidR="00000000" w:rsidRDefault="00A96DC8">
      <w:pPr>
        <w:autoSpaceDE w:val="0"/>
        <w:autoSpaceDN w:val="0"/>
        <w:adjustRightInd w:val="0"/>
        <w:spacing w:before="200"/>
        <w:jc w:val="both"/>
        <w:rPr>
          <w:rFonts w:ascii="Times New Roman" w:hAnsi="Times New Roman" w:cs="Times New Roman"/>
          <w:color w:val="000000"/>
          <w:sz w:val="20"/>
        </w:rPr>
      </w:pPr>
      <w:r>
        <w:rPr>
          <w:rFonts w:ascii="Times New Roman" w:hAnsi="Times New Roman" w:cs="Times New Roman"/>
          <w:color w:val="0000FF"/>
          <w:sz w:val="20"/>
        </w:rPr>
        <w:t>Banke</w:t>
      </w:r>
      <w:r>
        <w:rPr>
          <w:rFonts w:ascii="Times New Roman" w:hAnsi="Times New Roman" w:cs="Times New Roman"/>
          <w:color w:val="000000"/>
          <w:sz w:val="20"/>
        </w:rPr>
        <w:t>, J.</w:t>
      </w:r>
    </w:p>
    <w:p w:rsidR="00000000" w:rsidRDefault="00A96DC8">
      <w:pPr>
        <w:autoSpaceDE w:val="0"/>
        <w:autoSpaceDN w:val="0"/>
        <w:adjustRightInd w:val="0"/>
        <w:spacing w:before="200"/>
        <w:jc w:val="both"/>
        <w:rPr>
          <w:rFonts w:ascii="Times New Roman" w:hAnsi="Times New Roman" w:cs="Times New Roman"/>
          <w:color w:val="000000"/>
          <w:sz w:val="20"/>
        </w:rPr>
      </w:pPr>
      <w:r>
        <w:rPr>
          <w:rFonts w:ascii="Times New Roman" w:hAnsi="Times New Roman" w:cs="Times New Roman"/>
          <w:color w:val="0000FF"/>
          <w:sz w:val="20"/>
        </w:rPr>
        <w:t>Sanchez</w:t>
      </w:r>
      <w:r>
        <w:rPr>
          <w:rFonts w:ascii="Times New Roman" w:hAnsi="Times New Roman" w:cs="Times New Roman"/>
          <w:color w:val="000000"/>
          <w:sz w:val="20"/>
        </w:rPr>
        <w:t>, J.</w:t>
      </w:r>
    </w:p>
    <w:p w:rsidR="00000000" w:rsidRDefault="00A96DC8">
      <w:pPr>
        <w:autoSpaceDE w:val="0"/>
        <w:autoSpaceDN w:val="0"/>
        <w:adjustRightInd w:val="0"/>
        <w:jc w:val="both"/>
        <w:rPr>
          <w:rFonts w:ascii="Times New Roman" w:hAnsi="Times New Roman" w:cs="Times New Roman"/>
          <w:color w:val="000000"/>
          <w:sz w:val="20"/>
        </w:rPr>
      </w:pPr>
      <w:bookmarkStart w:id="73" w:name="co_anchor_I2fd51fd1cad611eaad728cad1da01"/>
      <w:bookmarkEnd w:id="73"/>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Trial Court: The Superior Court of the City and County of San Francisco</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Trial Judge: Hon. Suzanne R. Bolanos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Counsel for Plaintiff and Respondent: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The Miller Firm, LLC Michael J. Miller, Curtis G. Hoke, Jeffrey A. Travers;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Baum, Hedlund, Aristei &amp; Goldman, P.C.; R. Brent Wisner, Pedram Esfandiary;</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Audet Partners LLP, M</w:t>
      </w:r>
      <w:r>
        <w:rPr>
          <w:rFonts w:ascii="Times New Roman" w:hAnsi="Times New Roman" w:cs="Times New Roman"/>
          <w:color w:val="000000"/>
          <w:sz w:val="20"/>
        </w:rPr>
        <w:t>ark E. Burton</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Public Justice, P.C., Karla Gilbride as Amicus Curiae on behalf of Plaintiff and Respondent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Counsel for Defendant and Appellant: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lastRenderedPageBreak/>
        <w:t>Horvitz &amp; Levy LLP; David M. Axelrad, Jason R. Litt, Dean A. Bochner Bryan Cave Leighton Paisner LLP; K. Le</w:t>
      </w:r>
      <w:r>
        <w:rPr>
          <w:rFonts w:ascii="Times New Roman" w:hAnsi="Times New Roman" w:cs="Times New Roman"/>
          <w:color w:val="000000"/>
          <w:sz w:val="20"/>
        </w:rPr>
        <w:t>e Marshall</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California Farm Bureau Federation, Karie Fisher as Amicus Curiae on behalf of Defendant and Appellant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The Civil Justice Association of California; Fred J. Hiestand, Kendall Brill &amp; Kelly LLP, Laura W. Brill, Nicholas F. Daum, Sharon S. Song </w:t>
      </w:r>
      <w:r>
        <w:rPr>
          <w:rFonts w:ascii="Times New Roman" w:hAnsi="Times New Roman" w:cs="Times New Roman"/>
          <w:color w:val="000000"/>
          <w:sz w:val="20"/>
        </w:rPr>
        <w:t>for Genentech, Inc., as Amicus Curiae on behalf of Defendant and Appellant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xml:space="preserve">Cole Pedroza LLP; Curtis A. Cole, Cassidy C. Davenport, </w:t>
      </w:r>
      <w:r>
        <w:rPr>
          <w:rFonts w:ascii="Times New Roman" w:hAnsi="Times New Roman" w:cs="Times New Roman"/>
          <w:color w:val="000000"/>
          <w:sz w:val="20"/>
        </w:rPr>
        <w:t>Scott M. Klausner for California Medical Association, California Dental Association, and California Hospital Association, a</w:t>
      </w:r>
      <w:r>
        <w:rPr>
          <w:rFonts w:ascii="Times New Roman" w:hAnsi="Times New Roman" w:cs="Times New Roman"/>
          <w:color w:val="000000"/>
          <w:sz w:val="20"/>
        </w:rPr>
        <w:t>s Amicus Curiae on behalf of Defendant and Appellant</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i/>
          <w:color w:val="000000"/>
          <w:sz w:val="20"/>
        </w:rPr>
        <w:t>Johnson v. Monsanto Company</w:t>
      </w:r>
      <w:r>
        <w:rPr>
          <w:rFonts w:ascii="Times New Roman" w:hAnsi="Times New Roman" w:cs="Times New Roman"/>
          <w:color w:val="000000"/>
          <w:sz w:val="20"/>
        </w:rPr>
        <w:t xml:space="preserve"> A155940 &amp; A156706</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w:t>
      </w:r>
    </w:p>
    <w:p w:rsidR="00000000" w:rsidRDefault="00A96DC8">
      <w:pPr>
        <w:autoSpaceDE w:val="0"/>
        <w:autoSpaceDN w:val="0"/>
        <w:adjustRightInd w:val="0"/>
        <w:spacing w:before="200" w:after="200"/>
        <w:jc w:val="both"/>
        <w:rPr>
          <w:rFonts w:ascii="Times New Roman" w:hAnsi="Times New Roman" w:cs="Times New Roman"/>
          <w:b/>
          <w:color w:val="212121"/>
          <w:sz w:val="20"/>
        </w:rPr>
      </w:pPr>
      <w:bookmarkStart w:id="74" w:name="co_allCitations_1"/>
      <w:bookmarkEnd w:id="74"/>
      <w:r>
        <w:rPr>
          <w:rFonts w:ascii="Times New Roman" w:hAnsi="Times New Roman" w:cs="Times New Roman"/>
          <w:b/>
          <w:color w:val="212121"/>
          <w:sz w:val="20"/>
        </w:rPr>
        <w:t>All Citations</w:t>
      </w:r>
    </w:p>
    <w:p w:rsidR="00000000" w:rsidRDefault="00A96DC8">
      <w:pPr>
        <w:autoSpaceDE w:val="0"/>
        <w:autoSpaceDN w:val="0"/>
        <w:adjustRightInd w:val="0"/>
        <w:jc w:val="both"/>
        <w:rPr>
          <w:rFonts w:ascii="Times New Roman" w:hAnsi="Times New Roman" w:cs="Times New Roman"/>
          <w:color w:val="000000"/>
          <w:sz w:val="20"/>
        </w:rPr>
      </w:pPr>
      <w:r>
        <w:rPr>
          <w:rFonts w:ascii="Times New Roman" w:hAnsi="Times New Roman" w:cs="Times New Roman"/>
          <w:color w:val="000000"/>
          <w:sz w:val="20"/>
        </w:rPr>
        <w:t>--- Cal.Rptr.3d ----, 2020 WL 4047332</w:t>
      </w:r>
    </w:p>
    <w:p w:rsidR="00000000" w:rsidRDefault="00A96DC8">
      <w:pPr>
        <w:autoSpaceDE w:val="0"/>
        <w:autoSpaceDN w:val="0"/>
        <w:adjustRightInd w:val="0"/>
        <w:rPr>
          <w:rFonts w:ascii="sans-serif" w:hAnsi="sans-serif" w:cs="sans-serif"/>
          <w:color w:val="000000"/>
        </w:rPr>
      </w:pPr>
    </w:p>
    <w:p w:rsidR="00000000" w:rsidRDefault="00A96DC8">
      <w:pPr>
        <w:autoSpaceDE w:val="0"/>
        <w:autoSpaceDN w:val="0"/>
        <w:adjustRightInd w:val="0"/>
        <w:rPr>
          <w:rFonts w:ascii="Arial" w:hAnsi="Arial" w:cs="Arial"/>
        </w:rPr>
        <w:sectPr w:rsidR="00000000">
          <w:type w:val="continuous"/>
          <w:pgSz w:w="12240" w:h="15840"/>
          <w:pgMar w:top="1080" w:right="1080" w:bottom="1080" w:left="1080" w:header="720" w:footer="720" w:gutter="0"/>
          <w:cols w:num="2" w:space="720"/>
          <w:noEndnote/>
        </w:sectPr>
      </w:pPr>
    </w:p>
    <w:tbl>
      <w:tblPr>
        <w:tblW w:w="0" w:type="auto"/>
        <w:tblLayout w:type="fixed"/>
        <w:tblCellMar>
          <w:left w:w="0" w:type="dxa"/>
          <w:right w:w="0" w:type="dxa"/>
        </w:tblCellMar>
        <w:tblLook w:val="04A0" w:firstRow="1" w:lastRow="0" w:firstColumn="1" w:lastColumn="0" w:noHBand="0" w:noVBand="1"/>
      </w:tblPr>
      <w:tblGrid>
        <w:gridCol w:w="600"/>
        <w:gridCol w:w="9480"/>
      </w:tblGrid>
      <w:tr w:rsidR="00000000">
        <w:tc>
          <w:tcPr>
            <w:tcW w:w="10080" w:type="dxa"/>
            <w:gridSpan w:val="2"/>
            <w:tcBorders>
              <w:top w:val="nil"/>
              <w:left w:val="nil"/>
              <w:bottom w:val="nil"/>
              <w:right w:val="nil"/>
            </w:tcBorders>
            <w:tcMar>
              <w:top w:w="200" w:type="dxa"/>
              <w:left w:w="0" w:type="dxa"/>
              <w:bottom w:w="0" w:type="dxa"/>
              <w:right w:w="0" w:type="dxa"/>
            </w:tcMar>
          </w:tcPr>
          <w:p w:rsidR="00000000" w:rsidRDefault="00A96DC8">
            <w:pPr>
              <w:autoSpaceDE w:val="0"/>
              <w:autoSpaceDN w:val="0"/>
              <w:adjustRightInd w:val="0"/>
              <w:rPr>
                <w:rFonts w:ascii="sans-serif" w:hAnsi="sans-serif" w:cs="sans-serif"/>
                <w:color w:val="000000"/>
                <w:sz w:val="20"/>
              </w:rPr>
            </w:pPr>
            <w:r>
              <w:rPr>
                <w:rFonts w:ascii="sans-serif" w:hAnsi="sans-serif" w:cs="sans-serif"/>
                <w:color w:val="000000"/>
                <w:sz w:val="20"/>
              </w:rPr>
              <w:t>Footnotes</w:t>
            </w:r>
          </w:p>
          <w:p w:rsidR="00000000" w:rsidRDefault="00A96DC8">
            <w:pPr>
              <w:autoSpaceDE w:val="0"/>
              <w:autoSpaceDN w:val="0"/>
              <w:adjustRightInd w:val="0"/>
              <w:rPr>
                <w:rFonts w:ascii="sans-serif" w:hAnsi="sans-serif" w:cs="sans-serif"/>
                <w:color w:val="000000"/>
                <w:sz w:val="20"/>
              </w:rPr>
            </w:pPr>
          </w:p>
        </w:tc>
      </w:tr>
      <w:tr w:rsidR="00000000">
        <w:tc>
          <w:tcPr>
            <w:tcW w:w="600" w:type="dxa"/>
            <w:tcBorders>
              <w:top w:val="nil"/>
              <w:left w:val="nil"/>
              <w:bottom w:val="nil"/>
              <w:right w:val="nil"/>
            </w:tcBorders>
            <w:tcMar>
              <w:top w:w="0" w:type="dxa"/>
              <w:left w:w="0" w:type="dxa"/>
              <w:bottom w:w="0" w:type="dxa"/>
              <w:right w:w="0" w:type="dxa"/>
            </w:tcMar>
          </w:tcPr>
          <w:p w:rsidR="00000000" w:rsidRDefault="00A96DC8">
            <w:pPr>
              <w:autoSpaceDE w:val="0"/>
              <w:autoSpaceDN w:val="0"/>
              <w:adjustRightInd w:val="0"/>
              <w:rPr>
                <w:rFonts w:ascii="sans-serif" w:hAnsi="sans-serif" w:cs="sans-serif"/>
                <w:color w:val="000000"/>
              </w:rPr>
            </w:pPr>
            <w:bookmarkStart w:id="75" w:name="co_footnote_B00012051484338_1"/>
            <w:bookmarkEnd w:id="75"/>
            <w:r>
              <w:rPr>
                <w:rFonts w:ascii="sans-serif" w:hAnsi="sans-serif" w:cs="sans-serif"/>
                <w:color w:val="0000FF"/>
                <w:vertAlign w:val="superscript"/>
              </w:rPr>
              <w:t>*</w:t>
            </w:r>
          </w:p>
          <w:p w:rsidR="00000000" w:rsidRDefault="00A96DC8">
            <w:pPr>
              <w:autoSpaceDE w:val="0"/>
              <w:autoSpaceDN w:val="0"/>
              <w:adjustRightInd w:val="0"/>
              <w:rPr>
                <w:rFonts w:ascii="sans-serif" w:hAnsi="sans-serif" w:cs="sans-serif"/>
                <w:color w:val="000000"/>
              </w:rPr>
            </w:pPr>
          </w:p>
        </w:tc>
        <w:tc>
          <w:tcPr>
            <w:tcW w:w="9480" w:type="dxa"/>
            <w:tcBorders>
              <w:top w:val="nil"/>
              <w:left w:val="nil"/>
              <w:bottom w:val="nil"/>
              <w:right w:val="nil"/>
            </w:tcBorders>
            <w:tcMar>
              <w:top w:w="0" w:type="dxa"/>
              <w:left w:w="0" w:type="dxa"/>
              <w:bottom w:w="0" w:type="dxa"/>
              <w:right w:w="0" w:type="dxa"/>
            </w:tcMar>
          </w:tcPr>
          <w:p w:rsidR="00000000" w:rsidRDefault="00A96DC8">
            <w:pPr>
              <w:autoSpaceDE w:val="0"/>
              <w:autoSpaceDN w:val="0"/>
              <w:adjustRightInd w:val="0"/>
              <w:jc w:val="both"/>
              <w:rPr>
                <w:rFonts w:ascii="sans-serif" w:hAnsi="sans-serif" w:cs="sans-serif"/>
                <w:color w:val="000000"/>
                <w:sz w:val="18"/>
              </w:rPr>
            </w:pPr>
            <w:r>
              <w:rPr>
                <w:rFonts w:ascii="sans-serif" w:hAnsi="sans-serif" w:cs="sans-serif"/>
                <w:color w:val="000000"/>
                <w:sz w:val="18"/>
              </w:rPr>
              <w:t xml:space="preserve">Pursuant to </w:t>
            </w:r>
            <w:r>
              <w:rPr>
                <w:rFonts w:ascii="sans-serif" w:hAnsi="sans-serif" w:cs="sans-serif"/>
                <w:color w:val="0000FF"/>
                <w:sz w:val="18"/>
              </w:rPr>
              <w:t>California Rules of Court, rules 8.1105(b)</w:t>
            </w:r>
            <w:r>
              <w:rPr>
                <w:rFonts w:ascii="sans-serif" w:hAnsi="sans-serif" w:cs="sans-serif"/>
                <w:color w:val="000000"/>
                <w:sz w:val="18"/>
              </w:rPr>
              <w:t xml:space="preserve"> and </w:t>
            </w:r>
            <w:r>
              <w:rPr>
                <w:rFonts w:ascii="sans-serif" w:hAnsi="sans-serif" w:cs="sans-serif"/>
                <w:color w:val="0000FF"/>
                <w:sz w:val="18"/>
              </w:rPr>
              <w:t>8.1110</w:t>
            </w:r>
            <w:r>
              <w:rPr>
                <w:rFonts w:ascii="sans-serif" w:hAnsi="sans-serif" w:cs="sans-serif"/>
                <w:color w:val="000000"/>
                <w:sz w:val="18"/>
              </w:rPr>
              <w:t>, this opinion is certified for publication with the exception of parts II.A., II.B., and II.D. In particular, part II.A.4., regardi</w:t>
            </w:r>
            <w:r>
              <w:rPr>
                <w:rFonts w:ascii="sans-serif" w:hAnsi="sans-serif" w:cs="sans-serif"/>
                <w:color w:val="000000"/>
                <w:sz w:val="18"/>
              </w:rPr>
              <w:t>ng preemption, is not certified for publication because our rulings turn on the lack of a developed factual record and consequently provide little guidance to parties in future cases. (</w:t>
            </w:r>
            <w:r>
              <w:rPr>
                <w:rFonts w:ascii="sans-serif" w:hAnsi="sans-serif" w:cs="sans-serif"/>
                <w:color w:val="0000FF"/>
                <w:sz w:val="18"/>
              </w:rPr>
              <w:t>Cal. Rules of Court, rule 8.1105(c)</w:t>
            </w:r>
            <w:r>
              <w:rPr>
                <w:rFonts w:ascii="sans-serif" w:hAnsi="sans-serif" w:cs="sans-serif"/>
                <w:color w:val="000000"/>
                <w:sz w:val="18"/>
              </w:rPr>
              <w:t>.)</w:t>
            </w:r>
          </w:p>
          <w:p w:rsidR="00000000" w:rsidRDefault="00A96DC8">
            <w:pPr>
              <w:autoSpaceDE w:val="0"/>
              <w:autoSpaceDN w:val="0"/>
              <w:adjustRightInd w:val="0"/>
              <w:jc w:val="both"/>
              <w:rPr>
                <w:rFonts w:ascii="sans-serif" w:hAnsi="sans-serif" w:cs="sans-serif"/>
                <w:color w:val="000000"/>
                <w:sz w:val="18"/>
              </w:rPr>
            </w:pPr>
          </w:p>
        </w:tc>
      </w:tr>
      <w:tr w:rsidR="00000000">
        <w:tc>
          <w:tcPr>
            <w:tcW w:w="600" w:type="dxa"/>
            <w:tcBorders>
              <w:top w:val="nil"/>
              <w:left w:val="nil"/>
              <w:bottom w:val="nil"/>
              <w:right w:val="nil"/>
            </w:tcBorders>
            <w:tcMar>
              <w:top w:w="0" w:type="dxa"/>
              <w:left w:w="0" w:type="dxa"/>
              <w:bottom w:w="0" w:type="dxa"/>
              <w:right w:w="0" w:type="dxa"/>
            </w:tcMar>
          </w:tcPr>
          <w:p w:rsidR="00000000" w:rsidRDefault="00A96DC8">
            <w:pPr>
              <w:autoSpaceDE w:val="0"/>
              <w:autoSpaceDN w:val="0"/>
              <w:adjustRightInd w:val="0"/>
              <w:rPr>
                <w:rFonts w:ascii="sans-serif" w:hAnsi="sans-serif" w:cs="sans-serif"/>
                <w:color w:val="000000"/>
              </w:rPr>
            </w:pPr>
            <w:bookmarkStart w:id="76" w:name="co_footnote_B00022051484338_1"/>
            <w:bookmarkEnd w:id="76"/>
            <w:r>
              <w:rPr>
                <w:rFonts w:ascii="sans-serif" w:hAnsi="sans-serif" w:cs="sans-serif"/>
                <w:color w:val="0000FF"/>
                <w:vertAlign w:val="superscript"/>
              </w:rPr>
              <w:t>1</w:t>
            </w:r>
          </w:p>
          <w:p w:rsidR="00000000" w:rsidRDefault="00A96DC8">
            <w:pPr>
              <w:autoSpaceDE w:val="0"/>
              <w:autoSpaceDN w:val="0"/>
              <w:adjustRightInd w:val="0"/>
              <w:rPr>
                <w:rFonts w:ascii="sans-serif" w:hAnsi="sans-serif" w:cs="sans-serif"/>
                <w:color w:val="000000"/>
              </w:rPr>
            </w:pPr>
          </w:p>
        </w:tc>
        <w:tc>
          <w:tcPr>
            <w:tcW w:w="9480" w:type="dxa"/>
            <w:tcBorders>
              <w:top w:val="nil"/>
              <w:left w:val="nil"/>
              <w:bottom w:val="nil"/>
              <w:right w:val="nil"/>
            </w:tcBorders>
            <w:tcMar>
              <w:top w:w="0" w:type="dxa"/>
              <w:left w:w="0" w:type="dxa"/>
              <w:bottom w:w="0" w:type="dxa"/>
              <w:right w:w="0" w:type="dxa"/>
            </w:tcMar>
          </w:tcPr>
          <w:p w:rsidR="00000000" w:rsidRDefault="00A96DC8">
            <w:pPr>
              <w:autoSpaceDE w:val="0"/>
              <w:autoSpaceDN w:val="0"/>
              <w:adjustRightInd w:val="0"/>
              <w:jc w:val="both"/>
              <w:rPr>
                <w:rFonts w:ascii="sans-serif" w:hAnsi="sans-serif" w:cs="sans-serif"/>
                <w:color w:val="000000"/>
                <w:sz w:val="18"/>
              </w:rPr>
            </w:pPr>
            <w:r>
              <w:rPr>
                <w:rFonts w:ascii="sans-serif" w:hAnsi="sans-serif" w:cs="sans-serif"/>
                <w:color w:val="000000"/>
                <w:sz w:val="18"/>
              </w:rPr>
              <w:t xml:space="preserve">An expert for Monsanto explained that </w:t>
            </w:r>
            <w:r>
              <w:rPr>
                <w:rFonts w:ascii="sans-serif" w:hAnsi="sans-serif" w:cs="sans-serif"/>
                <w:color w:val="000000"/>
                <w:sz w:val="18"/>
              </w:rPr>
              <w:t>“</w:t>
            </w:r>
            <w:r>
              <w:rPr>
                <w:rFonts w:ascii="sans-serif" w:hAnsi="sans-serif" w:cs="sans-serif"/>
                <w:color w:val="000000"/>
                <w:sz w:val="18"/>
              </w:rPr>
              <w:t>drift</w:t>
            </w:r>
            <w:r>
              <w:rPr>
                <w:rFonts w:ascii="sans-serif" w:hAnsi="sans-serif" w:cs="sans-serif"/>
                <w:color w:val="000000"/>
                <w:sz w:val="18"/>
              </w:rPr>
              <w:t>”</w:t>
            </w:r>
            <w:r>
              <w:rPr>
                <w:rFonts w:ascii="sans-serif" w:hAnsi="sans-serif" w:cs="sans-serif"/>
                <w:color w:val="000000"/>
                <w:sz w:val="18"/>
              </w:rPr>
              <w:t xml:space="preserve"> is </w:t>
            </w:r>
            <w:r>
              <w:rPr>
                <w:rFonts w:ascii="sans-serif" w:hAnsi="sans-serif" w:cs="sans-serif"/>
                <w:color w:val="000000"/>
                <w:sz w:val="18"/>
              </w:rPr>
              <w:t>“</w:t>
            </w:r>
            <w:r>
              <w:rPr>
                <w:rFonts w:ascii="sans-serif" w:hAnsi="sans-serif" w:cs="sans-serif"/>
                <w:color w:val="000000"/>
                <w:sz w:val="18"/>
              </w:rPr>
              <w:t>off-target movement of a[n] herbicide.</w:t>
            </w:r>
            <w:r>
              <w:rPr>
                <w:rFonts w:ascii="sans-serif" w:hAnsi="sans-serif" w:cs="sans-serif"/>
                <w:color w:val="000000"/>
                <w:sz w:val="18"/>
              </w:rPr>
              <w:t>”</w:t>
            </w:r>
          </w:p>
          <w:p w:rsidR="00000000" w:rsidRDefault="00A96DC8">
            <w:pPr>
              <w:autoSpaceDE w:val="0"/>
              <w:autoSpaceDN w:val="0"/>
              <w:adjustRightInd w:val="0"/>
              <w:jc w:val="both"/>
              <w:rPr>
                <w:rFonts w:ascii="sans-serif" w:hAnsi="sans-serif" w:cs="sans-serif"/>
                <w:color w:val="000000"/>
                <w:sz w:val="18"/>
              </w:rPr>
            </w:pPr>
          </w:p>
        </w:tc>
      </w:tr>
      <w:tr w:rsidR="00000000">
        <w:tc>
          <w:tcPr>
            <w:tcW w:w="600" w:type="dxa"/>
            <w:tcBorders>
              <w:top w:val="nil"/>
              <w:left w:val="nil"/>
              <w:bottom w:val="nil"/>
              <w:right w:val="nil"/>
            </w:tcBorders>
            <w:tcMar>
              <w:top w:w="0" w:type="dxa"/>
              <w:left w:w="0" w:type="dxa"/>
              <w:bottom w:w="0" w:type="dxa"/>
              <w:right w:w="0" w:type="dxa"/>
            </w:tcMar>
          </w:tcPr>
          <w:p w:rsidR="00000000" w:rsidRDefault="00A96DC8">
            <w:pPr>
              <w:autoSpaceDE w:val="0"/>
              <w:autoSpaceDN w:val="0"/>
              <w:adjustRightInd w:val="0"/>
              <w:rPr>
                <w:rFonts w:ascii="sans-serif" w:hAnsi="sans-serif" w:cs="sans-serif"/>
                <w:color w:val="000000"/>
              </w:rPr>
            </w:pPr>
            <w:bookmarkStart w:id="77" w:name="co_footnote_B00032051484338_1"/>
            <w:bookmarkEnd w:id="77"/>
            <w:r>
              <w:rPr>
                <w:rFonts w:ascii="sans-serif" w:hAnsi="sans-serif" w:cs="sans-serif"/>
                <w:color w:val="0000FF"/>
                <w:vertAlign w:val="superscript"/>
              </w:rPr>
              <w:t>2</w:t>
            </w:r>
          </w:p>
          <w:p w:rsidR="00000000" w:rsidRDefault="00A96DC8">
            <w:pPr>
              <w:autoSpaceDE w:val="0"/>
              <w:autoSpaceDN w:val="0"/>
              <w:adjustRightInd w:val="0"/>
              <w:rPr>
                <w:rFonts w:ascii="sans-serif" w:hAnsi="sans-serif" w:cs="sans-serif"/>
                <w:color w:val="000000"/>
              </w:rPr>
            </w:pPr>
          </w:p>
        </w:tc>
        <w:tc>
          <w:tcPr>
            <w:tcW w:w="9480" w:type="dxa"/>
            <w:tcBorders>
              <w:top w:val="nil"/>
              <w:left w:val="nil"/>
              <w:bottom w:val="nil"/>
              <w:right w:val="nil"/>
            </w:tcBorders>
            <w:tcMar>
              <w:top w:w="0" w:type="dxa"/>
              <w:left w:w="0" w:type="dxa"/>
              <w:bottom w:w="0" w:type="dxa"/>
              <w:right w:w="0" w:type="dxa"/>
            </w:tcMar>
          </w:tcPr>
          <w:p w:rsidR="00000000" w:rsidRDefault="00A96DC8">
            <w:pPr>
              <w:autoSpaceDE w:val="0"/>
              <w:autoSpaceDN w:val="0"/>
              <w:adjustRightInd w:val="0"/>
              <w:jc w:val="both"/>
              <w:rPr>
                <w:rFonts w:ascii="sans-serif" w:hAnsi="sans-serif" w:cs="sans-serif"/>
                <w:color w:val="000000"/>
                <w:sz w:val="18"/>
              </w:rPr>
            </w:pPr>
            <w:r>
              <w:rPr>
                <w:rFonts w:ascii="sans-serif" w:hAnsi="sans-serif" w:cs="sans-serif"/>
                <w:color w:val="000000"/>
                <w:sz w:val="18"/>
              </w:rPr>
              <w:t>In urging this court to strike the award of punitive damages (</w:t>
            </w:r>
            <w:r>
              <w:rPr>
                <w:rFonts w:ascii="sans-serif" w:hAnsi="sans-serif" w:cs="sans-serif"/>
                <w:i/>
                <w:color w:val="000000"/>
                <w:sz w:val="18"/>
              </w:rPr>
              <w:t>post</w:t>
            </w:r>
            <w:r>
              <w:rPr>
                <w:rFonts w:ascii="sans-serif" w:hAnsi="sans-serif" w:cs="sans-serif"/>
                <w:color w:val="000000"/>
                <w:sz w:val="18"/>
              </w:rPr>
              <w:t>, § I</w:t>
            </w:r>
            <w:r>
              <w:rPr>
                <w:rFonts w:ascii="sans-serif" w:hAnsi="sans-serif" w:cs="sans-serif"/>
                <w:color w:val="000000"/>
                <w:sz w:val="18"/>
              </w:rPr>
              <w:t>I.C.3.a.), Monsanto essentially asks this court to adopt the reasoning set forth in the trial court</w:t>
            </w:r>
            <w:r>
              <w:rPr>
                <w:rFonts w:ascii="sans-serif" w:hAnsi="sans-serif" w:cs="sans-serif"/>
                <w:color w:val="000000"/>
                <w:sz w:val="18"/>
              </w:rPr>
              <w:t>’</w:t>
            </w:r>
            <w:r>
              <w:rPr>
                <w:rFonts w:ascii="sans-serif" w:hAnsi="sans-serif" w:cs="sans-serif"/>
                <w:color w:val="000000"/>
                <w:sz w:val="18"/>
              </w:rPr>
              <w:t xml:space="preserve">s tentative decision. But </w:t>
            </w:r>
            <w:r>
              <w:rPr>
                <w:rFonts w:ascii="sans-serif" w:hAnsi="sans-serif" w:cs="sans-serif"/>
                <w:color w:val="000000"/>
                <w:sz w:val="18"/>
              </w:rPr>
              <w:t>“</w:t>
            </w:r>
            <w:r>
              <w:rPr>
                <w:rFonts w:ascii="sans-serif" w:hAnsi="sans-serif" w:cs="sans-serif"/>
                <w:color w:val="000000"/>
                <w:sz w:val="18"/>
              </w:rPr>
              <w:t>[t]he trial court</w:t>
            </w:r>
            <w:r>
              <w:rPr>
                <w:rFonts w:ascii="sans-serif" w:hAnsi="sans-serif" w:cs="sans-serif"/>
                <w:color w:val="000000"/>
                <w:sz w:val="18"/>
              </w:rPr>
              <w:t>’</w:t>
            </w:r>
            <w:r>
              <w:rPr>
                <w:rFonts w:ascii="sans-serif" w:hAnsi="sans-serif" w:cs="sans-serif"/>
                <w:color w:val="000000"/>
                <w:sz w:val="18"/>
              </w:rPr>
              <w:t>s tentative opinion has no relevance on appeal.</w:t>
            </w:r>
            <w:r>
              <w:rPr>
                <w:rFonts w:ascii="sans-serif" w:hAnsi="sans-serif" w:cs="sans-serif"/>
                <w:color w:val="000000"/>
                <w:sz w:val="18"/>
              </w:rPr>
              <w:t>”</w:t>
            </w:r>
            <w:r>
              <w:rPr>
                <w:rFonts w:ascii="sans-serif" w:hAnsi="sans-serif" w:cs="sans-serif"/>
                <w:color w:val="000000"/>
                <w:sz w:val="18"/>
              </w:rPr>
              <w:t xml:space="preserve"> (</w:t>
            </w:r>
            <w:r>
              <w:rPr>
                <w:rFonts w:ascii="sans-serif" w:hAnsi="sans-serif" w:cs="sans-serif"/>
                <w:i/>
                <w:color w:val="0000FF"/>
                <w:sz w:val="18"/>
              </w:rPr>
              <w:t>Wilshire Ins. Co. v. Tuff Boy Holding, Inc.</w:t>
            </w:r>
            <w:r>
              <w:rPr>
                <w:rFonts w:ascii="sans-serif" w:hAnsi="sans-serif" w:cs="sans-serif"/>
                <w:color w:val="0000FF"/>
                <w:sz w:val="18"/>
              </w:rPr>
              <w:t xml:space="preserve"> (2001) 86 Cal.App</w:t>
            </w:r>
            <w:r>
              <w:rPr>
                <w:rFonts w:ascii="sans-serif" w:hAnsi="sans-serif" w:cs="sans-serif"/>
                <w:color w:val="0000FF"/>
                <w:sz w:val="18"/>
              </w:rPr>
              <w:t>.4th 627, 638, fn. 9</w:t>
            </w:r>
            <w:r>
              <w:rPr>
                <w:rFonts w:ascii="sans-serif" w:hAnsi="sans-serif" w:cs="sans-serif"/>
                <w:color w:val="000000"/>
                <w:sz w:val="18"/>
              </w:rPr>
              <w:t>.)</w:t>
            </w:r>
          </w:p>
          <w:p w:rsidR="00000000" w:rsidRDefault="00A96DC8">
            <w:pPr>
              <w:autoSpaceDE w:val="0"/>
              <w:autoSpaceDN w:val="0"/>
              <w:adjustRightInd w:val="0"/>
              <w:jc w:val="both"/>
              <w:rPr>
                <w:rFonts w:ascii="sans-serif" w:hAnsi="sans-serif" w:cs="sans-serif"/>
                <w:color w:val="000000"/>
                <w:sz w:val="18"/>
              </w:rPr>
            </w:pPr>
          </w:p>
        </w:tc>
      </w:tr>
      <w:tr w:rsidR="00000000">
        <w:tc>
          <w:tcPr>
            <w:tcW w:w="600" w:type="dxa"/>
            <w:tcBorders>
              <w:top w:val="nil"/>
              <w:left w:val="nil"/>
              <w:bottom w:val="nil"/>
              <w:right w:val="nil"/>
            </w:tcBorders>
            <w:tcMar>
              <w:top w:w="0" w:type="dxa"/>
              <w:left w:w="0" w:type="dxa"/>
              <w:bottom w:w="0" w:type="dxa"/>
              <w:right w:w="0" w:type="dxa"/>
            </w:tcMar>
          </w:tcPr>
          <w:p w:rsidR="00000000" w:rsidRDefault="00A96DC8">
            <w:pPr>
              <w:autoSpaceDE w:val="0"/>
              <w:autoSpaceDN w:val="0"/>
              <w:adjustRightInd w:val="0"/>
              <w:rPr>
                <w:rFonts w:ascii="sans-serif" w:hAnsi="sans-serif" w:cs="sans-serif"/>
                <w:color w:val="000000"/>
              </w:rPr>
            </w:pPr>
            <w:bookmarkStart w:id="78" w:name="co_footnote_B00042051484338_1"/>
            <w:bookmarkEnd w:id="78"/>
            <w:r>
              <w:rPr>
                <w:rFonts w:ascii="sans-serif" w:hAnsi="sans-serif" w:cs="sans-serif"/>
                <w:color w:val="0000FF"/>
                <w:vertAlign w:val="superscript"/>
              </w:rPr>
              <w:t>3</w:t>
            </w:r>
          </w:p>
          <w:p w:rsidR="00000000" w:rsidRDefault="00A96DC8">
            <w:pPr>
              <w:autoSpaceDE w:val="0"/>
              <w:autoSpaceDN w:val="0"/>
              <w:adjustRightInd w:val="0"/>
              <w:rPr>
                <w:rFonts w:ascii="sans-serif" w:hAnsi="sans-serif" w:cs="sans-serif"/>
                <w:color w:val="000000"/>
              </w:rPr>
            </w:pPr>
          </w:p>
        </w:tc>
        <w:tc>
          <w:tcPr>
            <w:tcW w:w="9480" w:type="dxa"/>
            <w:tcBorders>
              <w:top w:val="nil"/>
              <w:left w:val="nil"/>
              <w:bottom w:val="nil"/>
              <w:right w:val="nil"/>
            </w:tcBorders>
            <w:tcMar>
              <w:top w:w="0" w:type="dxa"/>
              <w:left w:w="0" w:type="dxa"/>
              <w:bottom w:w="0" w:type="dxa"/>
              <w:right w:w="0" w:type="dxa"/>
            </w:tcMar>
          </w:tcPr>
          <w:p w:rsidR="00000000" w:rsidRDefault="00A96DC8">
            <w:pPr>
              <w:autoSpaceDE w:val="0"/>
              <w:autoSpaceDN w:val="0"/>
              <w:adjustRightInd w:val="0"/>
              <w:jc w:val="both"/>
              <w:rPr>
                <w:rFonts w:ascii="sans-serif" w:hAnsi="sans-serif" w:cs="sans-serif"/>
                <w:color w:val="000000"/>
                <w:sz w:val="18"/>
              </w:rPr>
            </w:pPr>
            <w:r>
              <w:rPr>
                <w:rFonts w:ascii="sans-serif" w:hAnsi="sans-serif" w:cs="sans-serif"/>
                <w:color w:val="000000"/>
                <w:sz w:val="18"/>
              </w:rPr>
              <w:t xml:space="preserve">We asked for, and received, supplemental briefing on whether and how </w:t>
            </w:r>
            <w:r>
              <w:rPr>
                <w:rFonts w:ascii="sans-serif" w:hAnsi="sans-serif" w:cs="sans-serif"/>
                <w:i/>
                <w:color w:val="0000FF"/>
                <w:sz w:val="18"/>
              </w:rPr>
              <w:t>Wyeth</w:t>
            </w:r>
            <w:r>
              <w:rPr>
                <w:rFonts w:ascii="sans-serif" w:hAnsi="sans-serif" w:cs="sans-serif"/>
                <w:color w:val="0000FF"/>
                <w:sz w:val="18"/>
              </w:rPr>
              <w:t xml:space="preserve">, </w:t>
            </w:r>
            <w:r>
              <w:rPr>
                <w:rFonts w:ascii="sans-serif" w:hAnsi="sans-serif" w:cs="sans-serif"/>
                <w:i/>
                <w:color w:val="0000FF"/>
                <w:sz w:val="18"/>
              </w:rPr>
              <w:t>supra</w:t>
            </w:r>
            <w:r>
              <w:rPr>
                <w:rFonts w:ascii="sans-serif" w:hAnsi="sans-serif" w:cs="sans-serif"/>
                <w:color w:val="0000FF"/>
                <w:sz w:val="18"/>
              </w:rPr>
              <w:t>, 555 U.S. 555</w:t>
            </w:r>
            <w:r>
              <w:rPr>
                <w:rFonts w:ascii="sans-serif" w:hAnsi="sans-serif" w:cs="sans-serif"/>
                <w:color w:val="000000"/>
                <w:sz w:val="18"/>
              </w:rPr>
              <w:t>, should apply in this case.</w:t>
            </w:r>
          </w:p>
          <w:p w:rsidR="00000000" w:rsidRDefault="00A96DC8">
            <w:pPr>
              <w:autoSpaceDE w:val="0"/>
              <w:autoSpaceDN w:val="0"/>
              <w:adjustRightInd w:val="0"/>
              <w:jc w:val="both"/>
              <w:rPr>
                <w:rFonts w:ascii="sans-serif" w:hAnsi="sans-serif" w:cs="sans-serif"/>
                <w:color w:val="000000"/>
                <w:sz w:val="18"/>
              </w:rPr>
            </w:pPr>
          </w:p>
        </w:tc>
      </w:tr>
      <w:tr w:rsidR="00000000">
        <w:tc>
          <w:tcPr>
            <w:tcW w:w="600" w:type="dxa"/>
            <w:tcBorders>
              <w:top w:val="nil"/>
              <w:left w:val="nil"/>
              <w:bottom w:val="nil"/>
              <w:right w:val="nil"/>
            </w:tcBorders>
            <w:tcMar>
              <w:top w:w="0" w:type="dxa"/>
              <w:left w:w="0" w:type="dxa"/>
              <w:bottom w:w="0" w:type="dxa"/>
              <w:right w:w="0" w:type="dxa"/>
            </w:tcMar>
          </w:tcPr>
          <w:p w:rsidR="00000000" w:rsidRDefault="00A96DC8">
            <w:pPr>
              <w:autoSpaceDE w:val="0"/>
              <w:autoSpaceDN w:val="0"/>
              <w:adjustRightInd w:val="0"/>
              <w:rPr>
                <w:rFonts w:ascii="sans-serif" w:hAnsi="sans-serif" w:cs="sans-serif"/>
                <w:color w:val="000000"/>
              </w:rPr>
            </w:pPr>
            <w:bookmarkStart w:id="79" w:name="co_footnote_B00052051484338_1"/>
            <w:bookmarkEnd w:id="79"/>
            <w:r>
              <w:rPr>
                <w:rFonts w:ascii="sans-serif" w:hAnsi="sans-serif" w:cs="sans-serif"/>
                <w:color w:val="0000FF"/>
                <w:vertAlign w:val="superscript"/>
              </w:rPr>
              <w:t>4</w:t>
            </w:r>
          </w:p>
          <w:p w:rsidR="00000000" w:rsidRDefault="00A96DC8">
            <w:pPr>
              <w:autoSpaceDE w:val="0"/>
              <w:autoSpaceDN w:val="0"/>
              <w:adjustRightInd w:val="0"/>
              <w:rPr>
                <w:rFonts w:ascii="sans-serif" w:hAnsi="sans-serif" w:cs="sans-serif"/>
                <w:color w:val="000000"/>
              </w:rPr>
            </w:pPr>
          </w:p>
        </w:tc>
        <w:tc>
          <w:tcPr>
            <w:tcW w:w="9480" w:type="dxa"/>
            <w:tcBorders>
              <w:top w:val="nil"/>
              <w:left w:val="nil"/>
              <w:bottom w:val="nil"/>
              <w:right w:val="nil"/>
            </w:tcBorders>
            <w:tcMar>
              <w:top w:w="0" w:type="dxa"/>
              <w:left w:w="0" w:type="dxa"/>
              <w:bottom w:w="0" w:type="dxa"/>
              <w:right w:w="0" w:type="dxa"/>
            </w:tcMar>
          </w:tcPr>
          <w:p w:rsidR="00000000" w:rsidRDefault="00A96DC8">
            <w:pPr>
              <w:autoSpaceDE w:val="0"/>
              <w:autoSpaceDN w:val="0"/>
              <w:adjustRightInd w:val="0"/>
              <w:jc w:val="both"/>
              <w:rPr>
                <w:rFonts w:ascii="sans-serif" w:hAnsi="sans-serif" w:cs="sans-serif"/>
                <w:color w:val="000000"/>
                <w:sz w:val="18"/>
              </w:rPr>
            </w:pPr>
            <w:r>
              <w:rPr>
                <w:rFonts w:ascii="sans-serif" w:hAnsi="sans-serif" w:cs="sans-serif"/>
                <w:color w:val="000000"/>
                <w:sz w:val="18"/>
              </w:rPr>
              <w:t xml:space="preserve">In response to our request for supplemental briefing, the Attorney General asked to submit a proposed amicus brief to address the </w:t>
            </w:r>
            <w:r>
              <w:rPr>
                <w:rFonts w:ascii="sans-serif" w:hAnsi="sans-serif" w:cs="sans-serif"/>
                <w:color w:val="000000"/>
                <w:sz w:val="18"/>
              </w:rPr>
              <w:t>“</w:t>
            </w:r>
            <w:r>
              <w:rPr>
                <w:rFonts w:ascii="sans-serif" w:hAnsi="sans-serif" w:cs="sans-serif"/>
                <w:color w:val="000000"/>
                <w:sz w:val="18"/>
              </w:rPr>
              <w:t>parallel state-law warning requirements like those of Proposition 65.</w:t>
            </w:r>
            <w:r>
              <w:rPr>
                <w:rFonts w:ascii="sans-serif" w:hAnsi="sans-serif" w:cs="sans-serif"/>
                <w:color w:val="000000"/>
                <w:sz w:val="18"/>
              </w:rPr>
              <w:t>”</w:t>
            </w:r>
            <w:r>
              <w:rPr>
                <w:rFonts w:ascii="sans-serif" w:hAnsi="sans-serif" w:cs="sans-serif"/>
                <w:color w:val="000000"/>
                <w:sz w:val="18"/>
              </w:rPr>
              <w:t xml:space="preserve"> We denied the request because the iss</w:t>
            </w:r>
            <w:r>
              <w:rPr>
                <w:rFonts w:ascii="sans-serif" w:hAnsi="sans-serif" w:cs="sans-serif"/>
                <w:color w:val="000000"/>
                <w:sz w:val="18"/>
              </w:rPr>
              <w:t>ues it discusses are not properly before us in this case. The parties did not litigate Proposition 65</w:t>
            </w:r>
            <w:r>
              <w:rPr>
                <w:rFonts w:ascii="sans-serif" w:hAnsi="sans-serif" w:cs="sans-serif"/>
                <w:color w:val="000000"/>
                <w:sz w:val="18"/>
              </w:rPr>
              <w:t>’</w:t>
            </w:r>
            <w:r>
              <w:rPr>
                <w:rFonts w:ascii="sans-serif" w:hAnsi="sans-serif" w:cs="sans-serif"/>
                <w:color w:val="000000"/>
                <w:sz w:val="18"/>
              </w:rPr>
              <w:t>s effect on preemption below, nor did they raise the issue in their appellate briefs.</w:t>
            </w:r>
          </w:p>
          <w:p w:rsidR="00000000" w:rsidRDefault="00A96DC8">
            <w:pPr>
              <w:autoSpaceDE w:val="0"/>
              <w:autoSpaceDN w:val="0"/>
              <w:adjustRightInd w:val="0"/>
              <w:jc w:val="both"/>
              <w:rPr>
                <w:rFonts w:ascii="sans-serif" w:hAnsi="sans-serif" w:cs="sans-serif"/>
                <w:color w:val="000000"/>
                <w:sz w:val="18"/>
              </w:rPr>
            </w:pPr>
          </w:p>
        </w:tc>
      </w:tr>
      <w:tr w:rsidR="00000000">
        <w:tc>
          <w:tcPr>
            <w:tcW w:w="600" w:type="dxa"/>
            <w:tcBorders>
              <w:top w:val="nil"/>
              <w:left w:val="nil"/>
              <w:bottom w:val="nil"/>
              <w:right w:val="nil"/>
            </w:tcBorders>
            <w:tcMar>
              <w:top w:w="0" w:type="dxa"/>
              <w:left w:w="0" w:type="dxa"/>
              <w:bottom w:w="0" w:type="dxa"/>
              <w:right w:w="0" w:type="dxa"/>
            </w:tcMar>
          </w:tcPr>
          <w:p w:rsidR="00000000" w:rsidRDefault="00A96DC8">
            <w:pPr>
              <w:autoSpaceDE w:val="0"/>
              <w:autoSpaceDN w:val="0"/>
              <w:adjustRightInd w:val="0"/>
              <w:rPr>
                <w:rFonts w:ascii="sans-serif" w:hAnsi="sans-serif" w:cs="sans-serif"/>
                <w:color w:val="000000"/>
              </w:rPr>
            </w:pPr>
            <w:bookmarkStart w:id="80" w:name="co_footnote_B00062051484338_1"/>
            <w:bookmarkEnd w:id="80"/>
            <w:r>
              <w:rPr>
                <w:rFonts w:ascii="sans-serif" w:hAnsi="sans-serif" w:cs="sans-serif"/>
                <w:color w:val="0000FF"/>
                <w:vertAlign w:val="superscript"/>
              </w:rPr>
              <w:t>5</w:t>
            </w:r>
          </w:p>
          <w:p w:rsidR="00000000" w:rsidRDefault="00A96DC8">
            <w:pPr>
              <w:autoSpaceDE w:val="0"/>
              <w:autoSpaceDN w:val="0"/>
              <w:adjustRightInd w:val="0"/>
              <w:rPr>
                <w:rFonts w:ascii="sans-serif" w:hAnsi="sans-serif" w:cs="sans-serif"/>
                <w:color w:val="000000"/>
              </w:rPr>
            </w:pPr>
          </w:p>
        </w:tc>
        <w:tc>
          <w:tcPr>
            <w:tcW w:w="9480" w:type="dxa"/>
            <w:tcBorders>
              <w:top w:val="nil"/>
              <w:left w:val="nil"/>
              <w:bottom w:val="nil"/>
              <w:right w:val="nil"/>
            </w:tcBorders>
            <w:tcMar>
              <w:top w:w="0" w:type="dxa"/>
              <w:left w:w="0" w:type="dxa"/>
              <w:bottom w:w="0" w:type="dxa"/>
              <w:right w:w="0" w:type="dxa"/>
            </w:tcMar>
          </w:tcPr>
          <w:p w:rsidR="00000000" w:rsidRDefault="00A96DC8">
            <w:pPr>
              <w:autoSpaceDE w:val="0"/>
              <w:autoSpaceDN w:val="0"/>
              <w:adjustRightInd w:val="0"/>
              <w:jc w:val="both"/>
              <w:rPr>
                <w:rFonts w:ascii="sans-serif" w:hAnsi="sans-serif" w:cs="sans-serif"/>
                <w:color w:val="000000"/>
                <w:sz w:val="18"/>
              </w:rPr>
            </w:pPr>
            <w:r>
              <w:rPr>
                <w:rFonts w:ascii="sans-serif" w:hAnsi="sans-serif" w:cs="sans-serif"/>
                <w:color w:val="000000"/>
                <w:sz w:val="18"/>
              </w:rPr>
              <w:t>The lack of objection below to the jury instruction is an indication that both parties understood it to be an accurate summary of the law. We reject Johnson</w:t>
            </w:r>
            <w:r>
              <w:rPr>
                <w:rFonts w:ascii="sans-serif" w:hAnsi="sans-serif" w:cs="sans-serif"/>
                <w:color w:val="000000"/>
                <w:sz w:val="18"/>
              </w:rPr>
              <w:t>’</w:t>
            </w:r>
            <w:r>
              <w:rPr>
                <w:rFonts w:ascii="sans-serif" w:hAnsi="sans-serif" w:cs="sans-serif"/>
                <w:color w:val="000000"/>
                <w:sz w:val="18"/>
              </w:rPr>
              <w:t>s argument that Monsanto forfeited its challenge to the jury</w:t>
            </w:r>
            <w:r>
              <w:rPr>
                <w:rFonts w:ascii="sans-serif" w:hAnsi="sans-serif" w:cs="sans-serif"/>
                <w:color w:val="000000"/>
                <w:sz w:val="18"/>
              </w:rPr>
              <w:t>’</w:t>
            </w:r>
            <w:r>
              <w:rPr>
                <w:rFonts w:ascii="sans-serif" w:hAnsi="sans-serif" w:cs="sans-serif"/>
                <w:color w:val="000000"/>
                <w:sz w:val="18"/>
              </w:rPr>
              <w:t>s award by not objecting below since t</w:t>
            </w:r>
            <w:r>
              <w:rPr>
                <w:rFonts w:ascii="sans-serif" w:hAnsi="sans-serif" w:cs="sans-serif"/>
                <w:color w:val="000000"/>
                <w:sz w:val="18"/>
              </w:rPr>
              <w:t>he question presented is a legal one.</w:t>
            </w:r>
          </w:p>
          <w:p w:rsidR="00000000" w:rsidRDefault="00A96DC8">
            <w:pPr>
              <w:autoSpaceDE w:val="0"/>
              <w:autoSpaceDN w:val="0"/>
              <w:adjustRightInd w:val="0"/>
              <w:jc w:val="both"/>
              <w:rPr>
                <w:rFonts w:ascii="sans-serif" w:hAnsi="sans-serif" w:cs="sans-serif"/>
                <w:color w:val="000000"/>
                <w:sz w:val="18"/>
              </w:rPr>
            </w:pPr>
          </w:p>
        </w:tc>
      </w:tr>
      <w:tr w:rsidR="00000000">
        <w:tc>
          <w:tcPr>
            <w:tcW w:w="600" w:type="dxa"/>
            <w:tcBorders>
              <w:top w:val="nil"/>
              <w:left w:val="nil"/>
              <w:bottom w:val="nil"/>
              <w:right w:val="nil"/>
            </w:tcBorders>
            <w:tcMar>
              <w:top w:w="0" w:type="dxa"/>
              <w:left w:w="0" w:type="dxa"/>
              <w:bottom w:w="0" w:type="dxa"/>
              <w:right w:w="0" w:type="dxa"/>
            </w:tcMar>
          </w:tcPr>
          <w:p w:rsidR="00000000" w:rsidRDefault="00A96DC8">
            <w:pPr>
              <w:autoSpaceDE w:val="0"/>
              <w:autoSpaceDN w:val="0"/>
              <w:adjustRightInd w:val="0"/>
              <w:rPr>
                <w:rFonts w:ascii="sans-serif" w:hAnsi="sans-serif" w:cs="sans-serif"/>
                <w:color w:val="000000"/>
              </w:rPr>
            </w:pPr>
            <w:bookmarkStart w:id="81" w:name="co_footnote_B00072051484338_1"/>
            <w:bookmarkEnd w:id="81"/>
            <w:r>
              <w:rPr>
                <w:rFonts w:ascii="sans-serif" w:hAnsi="sans-serif" w:cs="sans-serif"/>
                <w:color w:val="0000FF"/>
                <w:vertAlign w:val="superscript"/>
              </w:rPr>
              <w:t>6</w:t>
            </w:r>
          </w:p>
          <w:p w:rsidR="00000000" w:rsidRDefault="00A96DC8">
            <w:pPr>
              <w:autoSpaceDE w:val="0"/>
              <w:autoSpaceDN w:val="0"/>
              <w:adjustRightInd w:val="0"/>
              <w:rPr>
                <w:rFonts w:ascii="sans-serif" w:hAnsi="sans-serif" w:cs="sans-serif"/>
                <w:color w:val="000000"/>
              </w:rPr>
            </w:pPr>
          </w:p>
        </w:tc>
        <w:tc>
          <w:tcPr>
            <w:tcW w:w="9480" w:type="dxa"/>
            <w:tcBorders>
              <w:top w:val="nil"/>
              <w:left w:val="nil"/>
              <w:bottom w:val="nil"/>
              <w:right w:val="nil"/>
            </w:tcBorders>
            <w:tcMar>
              <w:top w:w="0" w:type="dxa"/>
              <w:left w:w="0" w:type="dxa"/>
              <w:bottom w:w="0" w:type="dxa"/>
              <w:right w:w="0" w:type="dxa"/>
            </w:tcMar>
          </w:tcPr>
          <w:p w:rsidR="00000000" w:rsidRDefault="00A96DC8">
            <w:pPr>
              <w:autoSpaceDE w:val="0"/>
              <w:autoSpaceDN w:val="0"/>
              <w:adjustRightInd w:val="0"/>
              <w:jc w:val="both"/>
              <w:rPr>
                <w:rFonts w:ascii="sans-serif" w:hAnsi="sans-serif" w:cs="sans-serif"/>
                <w:color w:val="000000"/>
                <w:sz w:val="18"/>
              </w:rPr>
            </w:pPr>
            <w:r>
              <w:rPr>
                <w:rFonts w:ascii="sans-serif" w:hAnsi="sans-serif" w:cs="sans-serif"/>
                <w:color w:val="000000"/>
                <w:sz w:val="18"/>
              </w:rPr>
              <w:t>Focusing on this single sentence of the court</w:t>
            </w:r>
            <w:r>
              <w:rPr>
                <w:rFonts w:ascii="sans-serif" w:hAnsi="sans-serif" w:cs="sans-serif"/>
                <w:color w:val="000000"/>
                <w:sz w:val="18"/>
              </w:rPr>
              <w:t>’</w:t>
            </w:r>
            <w:r>
              <w:rPr>
                <w:rFonts w:ascii="sans-serif" w:hAnsi="sans-serif" w:cs="sans-serif"/>
                <w:color w:val="000000"/>
                <w:sz w:val="18"/>
              </w:rPr>
              <w:t xml:space="preserve">s order, Monsanto argues that the reference to only a </w:t>
            </w:r>
            <w:r>
              <w:rPr>
                <w:rFonts w:ascii="sans-serif" w:hAnsi="sans-serif" w:cs="sans-serif"/>
                <w:color w:val="000000"/>
                <w:sz w:val="18"/>
              </w:rPr>
              <w:t>“</w:t>
            </w:r>
            <w:r>
              <w:rPr>
                <w:rFonts w:ascii="sans-serif" w:hAnsi="sans-serif" w:cs="sans-serif"/>
                <w:color w:val="000000"/>
                <w:sz w:val="18"/>
              </w:rPr>
              <w:t>possible</w:t>
            </w:r>
            <w:r>
              <w:rPr>
                <w:rFonts w:ascii="sans-serif" w:hAnsi="sans-serif" w:cs="sans-serif"/>
                <w:color w:val="000000"/>
                <w:sz w:val="18"/>
              </w:rPr>
              <w:t>”</w:t>
            </w:r>
            <w:r>
              <w:rPr>
                <w:rFonts w:ascii="sans-serif" w:hAnsi="sans-serif" w:cs="sans-serif"/>
                <w:color w:val="000000"/>
                <w:sz w:val="18"/>
              </w:rPr>
              <w:t xml:space="preserve"> </w:t>
            </w:r>
            <w:r>
              <w:rPr>
                <w:rFonts w:ascii="sans-serif" w:hAnsi="sans-serif" w:cs="sans-serif"/>
                <w:color w:val="0000FF"/>
                <w:sz w:val="18"/>
              </w:rPr>
              <w:t>cancer</w:t>
            </w:r>
            <w:r>
              <w:rPr>
                <w:rFonts w:ascii="sans-serif" w:hAnsi="sans-serif" w:cs="sans-serif"/>
                <w:color w:val="000000"/>
                <w:sz w:val="18"/>
              </w:rPr>
              <w:t xml:space="preserve"> link fell short of establishing that </w:t>
            </w:r>
            <w:r>
              <w:rPr>
                <w:rFonts w:ascii="sans-serif" w:hAnsi="sans-serif" w:cs="sans-serif"/>
                <w:color w:val="000000"/>
                <w:sz w:val="18"/>
              </w:rPr>
              <w:t xml:space="preserve">it acted </w:t>
            </w:r>
            <w:r>
              <w:rPr>
                <w:rFonts w:ascii="sans-serif" w:hAnsi="sans-serif" w:cs="sans-serif"/>
                <w:color w:val="000000"/>
                <w:sz w:val="18"/>
              </w:rPr>
              <w:t>“</w:t>
            </w:r>
            <w:r>
              <w:rPr>
                <w:rFonts w:ascii="sans-serif" w:hAnsi="sans-serif" w:cs="sans-serif"/>
                <w:color w:val="000000"/>
                <w:sz w:val="18"/>
              </w:rPr>
              <w:t>willful[ly] and [with] conscious disregard of the rights or safety of others.</w:t>
            </w:r>
            <w:r>
              <w:rPr>
                <w:rFonts w:ascii="sans-serif" w:hAnsi="sans-serif" w:cs="sans-serif"/>
                <w:color w:val="000000"/>
                <w:sz w:val="18"/>
              </w:rPr>
              <w:t>”</w:t>
            </w:r>
            <w:r>
              <w:rPr>
                <w:rFonts w:ascii="sans-serif" w:hAnsi="sans-serif" w:cs="sans-serif"/>
                <w:color w:val="000000"/>
                <w:sz w:val="18"/>
              </w:rPr>
              <w:t xml:space="preserve"> (</w:t>
            </w:r>
            <w:r>
              <w:rPr>
                <w:rFonts w:ascii="sans-serif" w:hAnsi="sans-serif" w:cs="sans-serif"/>
                <w:color w:val="0000FF"/>
                <w:sz w:val="18"/>
              </w:rPr>
              <w:t>Civ. Code, § 3294, subd. (c)(1)</w:t>
            </w:r>
            <w:r>
              <w:rPr>
                <w:rFonts w:ascii="sans-serif" w:hAnsi="sans-serif" w:cs="sans-serif"/>
                <w:color w:val="000000"/>
                <w:sz w:val="18"/>
              </w:rPr>
              <w:t>.) But the trial court</w:t>
            </w:r>
            <w:r>
              <w:rPr>
                <w:rFonts w:ascii="sans-serif" w:hAnsi="sans-serif" w:cs="sans-serif"/>
                <w:color w:val="000000"/>
                <w:sz w:val="18"/>
              </w:rPr>
              <w:t>’</w:t>
            </w:r>
            <w:r>
              <w:rPr>
                <w:rFonts w:ascii="sans-serif" w:hAnsi="sans-serif" w:cs="sans-serif"/>
                <w:color w:val="000000"/>
                <w:sz w:val="18"/>
              </w:rPr>
              <w:t xml:space="preserve">s order elsewhere made clear the court was following this standard, as when it concluded that </w:t>
            </w:r>
            <w:r>
              <w:rPr>
                <w:rFonts w:ascii="sans-serif" w:hAnsi="sans-serif" w:cs="sans-serif"/>
                <w:color w:val="000000"/>
                <w:sz w:val="18"/>
              </w:rPr>
              <w:t>“</w:t>
            </w:r>
            <w:r>
              <w:rPr>
                <w:rFonts w:ascii="sans-serif" w:hAnsi="sans-serif" w:cs="sans-serif"/>
                <w:color w:val="000000"/>
                <w:sz w:val="18"/>
              </w:rPr>
              <w:t>the jury could co</w:t>
            </w:r>
            <w:r>
              <w:rPr>
                <w:rFonts w:ascii="sans-serif" w:hAnsi="sans-serif" w:cs="sans-serif"/>
                <w:color w:val="000000"/>
                <w:sz w:val="18"/>
              </w:rPr>
              <w:t xml:space="preserve">nclude that Monsanto acted with malice by </w:t>
            </w:r>
            <w:r>
              <w:rPr>
                <w:rFonts w:ascii="sans-serif" w:hAnsi="sans-serif" w:cs="sans-serif"/>
                <w:i/>
                <w:color w:val="000000"/>
                <w:sz w:val="18"/>
              </w:rPr>
              <w:t>consciously disregarding</w:t>
            </w:r>
            <w:r>
              <w:rPr>
                <w:rFonts w:ascii="sans-serif" w:hAnsi="sans-serif" w:cs="sans-serif"/>
                <w:color w:val="000000"/>
                <w:sz w:val="18"/>
              </w:rPr>
              <w:t xml:space="preserve"> a </w:t>
            </w:r>
            <w:r>
              <w:rPr>
                <w:rFonts w:ascii="sans-serif" w:hAnsi="sans-serif" w:cs="sans-serif"/>
                <w:i/>
                <w:color w:val="000000"/>
                <w:sz w:val="18"/>
              </w:rPr>
              <w:t>probable</w:t>
            </w:r>
            <w:r>
              <w:rPr>
                <w:rFonts w:ascii="sans-serif" w:hAnsi="sans-serif" w:cs="sans-serif"/>
                <w:color w:val="000000"/>
                <w:sz w:val="18"/>
              </w:rPr>
              <w:t xml:space="preserve"> safety risk of GBHs and continuing to market and sell its product without a warning.</w:t>
            </w:r>
            <w:r>
              <w:rPr>
                <w:rFonts w:ascii="sans-serif" w:hAnsi="sans-serif" w:cs="sans-serif"/>
                <w:color w:val="000000"/>
                <w:sz w:val="18"/>
              </w:rPr>
              <w:t>”</w:t>
            </w:r>
            <w:r>
              <w:rPr>
                <w:rFonts w:ascii="sans-serif" w:hAnsi="sans-serif" w:cs="sans-serif"/>
                <w:color w:val="000000"/>
                <w:sz w:val="18"/>
              </w:rPr>
              <w:t xml:space="preserve"> (Italics added.)</w:t>
            </w:r>
          </w:p>
          <w:p w:rsidR="00000000" w:rsidRDefault="00A96DC8">
            <w:pPr>
              <w:autoSpaceDE w:val="0"/>
              <w:autoSpaceDN w:val="0"/>
              <w:adjustRightInd w:val="0"/>
              <w:jc w:val="both"/>
              <w:rPr>
                <w:rFonts w:ascii="sans-serif" w:hAnsi="sans-serif" w:cs="sans-serif"/>
                <w:color w:val="000000"/>
                <w:sz w:val="18"/>
              </w:rPr>
            </w:pPr>
          </w:p>
        </w:tc>
      </w:tr>
    </w:tbl>
    <w:p w:rsidR="00000000" w:rsidRDefault="00A96DC8">
      <w:pPr>
        <w:autoSpaceDE w:val="0"/>
        <w:autoSpaceDN w:val="0"/>
        <w:adjustRightInd w:val="0"/>
        <w:rPr>
          <w:rFonts w:ascii="Arial" w:hAnsi="Arial" w:cs="Arial"/>
        </w:rPr>
      </w:pPr>
    </w:p>
    <w:p w:rsidR="00000000" w:rsidRDefault="00A96DC8">
      <w:pPr>
        <w:autoSpaceDE w:val="0"/>
        <w:autoSpaceDN w:val="0"/>
        <w:adjustRightInd w:val="0"/>
        <w:rPr>
          <w:rFonts w:ascii="Times New Roman" w:hAnsi="Times New Roman" w:cs="Times New Roman"/>
          <w:color w:val="000000"/>
        </w:rPr>
      </w:pPr>
    </w:p>
    <w:p w:rsidR="00000000" w:rsidRDefault="00A96DC8">
      <w:pPr>
        <w:autoSpaceDE w:val="0"/>
        <w:autoSpaceDN w:val="0"/>
        <w:adjustRightInd w:val="0"/>
        <w:rPr>
          <w:rFonts w:ascii="Arial" w:hAnsi="Arial" w:cs="Arial"/>
        </w:rPr>
        <w:sectPr w:rsidR="00000000">
          <w:type w:val="continuous"/>
          <w:pgSz w:w="12240" w:h="15840"/>
          <w:pgMar w:top="1080" w:right="1080" w:bottom="1080" w:left="1080" w:header="720" w:footer="720" w:gutter="0"/>
          <w:cols w:space="720"/>
          <w:noEndnote/>
        </w:sectPr>
      </w:pPr>
    </w:p>
    <w:p w:rsidR="00000000" w:rsidRDefault="00A96DC8">
      <w:pPr>
        <w:autoSpaceDE w:val="0"/>
        <w:autoSpaceDN w:val="0"/>
        <w:adjustRightInd w:val="0"/>
        <w:rPr>
          <w:rFonts w:ascii="sans-serif" w:hAnsi="sans-serif" w:cs="sans-serif"/>
          <w:color w:val="000000"/>
        </w:rPr>
      </w:pPr>
    </w:p>
    <w:p w:rsidR="00000000" w:rsidRDefault="00A96DC8">
      <w:pPr>
        <w:autoSpaceDE w:val="0"/>
        <w:autoSpaceDN w:val="0"/>
        <w:adjustRightInd w:val="0"/>
        <w:rPr>
          <w:rFonts w:ascii="Arial" w:hAnsi="Arial" w:cs="Arial"/>
        </w:rPr>
        <w:sectPr w:rsidR="00000000">
          <w:type w:val="continuous"/>
          <w:pgSz w:w="12240" w:h="15840"/>
          <w:pgMar w:top="1080" w:right="1080" w:bottom="1080" w:left="1080" w:header="720" w:footer="720" w:gutter="0"/>
          <w:cols w:num="2" w:space="720"/>
          <w:noEndnote/>
        </w:sectPr>
      </w:pPr>
    </w:p>
    <w:tbl>
      <w:tblPr>
        <w:tblW w:w="0" w:type="auto"/>
        <w:tblInd w:w="24" w:type="dxa"/>
        <w:tblLayout w:type="fixed"/>
        <w:tblCellMar>
          <w:left w:w="0" w:type="dxa"/>
          <w:right w:w="0" w:type="dxa"/>
        </w:tblCellMar>
        <w:tblLook w:val="04A0" w:firstRow="1" w:lastRow="0" w:firstColumn="1" w:lastColumn="0" w:noHBand="0" w:noVBand="1"/>
      </w:tblPr>
      <w:tblGrid>
        <w:gridCol w:w="4320"/>
        <w:gridCol w:w="5760"/>
      </w:tblGrid>
      <w:tr w:rsidR="00000000">
        <w:tc>
          <w:tcPr>
            <w:tcW w:w="4320" w:type="dxa"/>
            <w:tcBorders>
              <w:top w:val="single" w:sz="4" w:space="0" w:color="777777"/>
              <w:left w:val="nil"/>
              <w:bottom w:val="nil"/>
              <w:right w:val="nil"/>
            </w:tcBorders>
            <w:tcMar>
              <w:top w:w="100" w:type="dxa"/>
              <w:left w:w="24" w:type="dxa"/>
              <w:bottom w:w="0" w:type="dxa"/>
              <w:right w:w="24" w:type="dxa"/>
            </w:tcMar>
          </w:tcPr>
          <w:p w:rsidR="00000000" w:rsidRDefault="00A96DC8">
            <w:pPr>
              <w:autoSpaceDE w:val="0"/>
              <w:autoSpaceDN w:val="0"/>
              <w:adjustRightInd w:val="0"/>
              <w:ind w:left="24" w:right="24"/>
              <w:rPr>
                <w:rFonts w:ascii="sans-serif" w:hAnsi="sans-serif" w:cs="sans-serif"/>
                <w:b/>
                <w:color w:val="777777"/>
                <w:sz w:val="16"/>
              </w:rPr>
            </w:pPr>
            <w:r>
              <w:rPr>
                <w:rFonts w:ascii="sans-serif" w:hAnsi="sans-serif" w:cs="sans-serif"/>
                <w:b/>
                <w:color w:val="777777"/>
                <w:sz w:val="16"/>
              </w:rPr>
              <w:t>End of Document</w:t>
            </w:r>
          </w:p>
          <w:p w:rsidR="00000000" w:rsidRDefault="00A96DC8">
            <w:pPr>
              <w:autoSpaceDE w:val="0"/>
              <w:autoSpaceDN w:val="0"/>
              <w:adjustRightInd w:val="0"/>
              <w:ind w:left="24" w:right="24"/>
              <w:rPr>
                <w:rFonts w:ascii="sans-serif" w:hAnsi="sans-serif" w:cs="sans-serif"/>
                <w:b/>
                <w:color w:val="777777"/>
                <w:sz w:val="16"/>
              </w:rPr>
            </w:pPr>
          </w:p>
        </w:tc>
        <w:tc>
          <w:tcPr>
            <w:tcW w:w="5760" w:type="dxa"/>
            <w:tcBorders>
              <w:top w:val="single" w:sz="4" w:space="0" w:color="777777"/>
              <w:left w:val="nil"/>
              <w:bottom w:val="nil"/>
              <w:right w:val="nil"/>
            </w:tcBorders>
            <w:tcMar>
              <w:top w:w="100" w:type="dxa"/>
              <w:left w:w="24" w:type="dxa"/>
              <w:bottom w:w="0" w:type="dxa"/>
              <w:right w:w="24" w:type="dxa"/>
            </w:tcMar>
          </w:tcPr>
          <w:p w:rsidR="00000000" w:rsidRDefault="00A96DC8">
            <w:pPr>
              <w:autoSpaceDE w:val="0"/>
              <w:autoSpaceDN w:val="0"/>
              <w:adjustRightInd w:val="0"/>
              <w:ind w:left="24" w:right="24"/>
              <w:jc w:val="right"/>
              <w:rPr>
                <w:rFonts w:ascii="sans-serif" w:hAnsi="sans-serif" w:cs="sans-serif"/>
                <w:color w:val="777777"/>
                <w:sz w:val="16"/>
              </w:rPr>
            </w:pPr>
            <w:r>
              <w:rPr>
                <w:rFonts w:ascii="sans-serif" w:hAnsi="sans-serif" w:cs="sans-serif"/>
                <w:color w:val="777777"/>
                <w:sz w:val="16"/>
              </w:rPr>
              <w:t>©</w:t>
            </w:r>
            <w:r>
              <w:rPr>
                <w:rFonts w:ascii="sans-serif" w:hAnsi="sans-serif" w:cs="sans-serif"/>
                <w:color w:val="777777"/>
                <w:sz w:val="16"/>
              </w:rPr>
              <w:t xml:space="preserve"> 2020 Thomson Reuters. No claim to original U.S. Government Works.</w:t>
            </w:r>
          </w:p>
          <w:p w:rsidR="00000000" w:rsidRDefault="00A96DC8">
            <w:pPr>
              <w:autoSpaceDE w:val="0"/>
              <w:autoSpaceDN w:val="0"/>
              <w:adjustRightInd w:val="0"/>
              <w:ind w:left="24" w:right="24"/>
              <w:jc w:val="right"/>
              <w:rPr>
                <w:rFonts w:ascii="sans-serif" w:hAnsi="sans-serif" w:cs="sans-serif"/>
                <w:color w:val="777777"/>
                <w:sz w:val="16"/>
              </w:rPr>
            </w:pPr>
          </w:p>
        </w:tc>
      </w:tr>
    </w:tbl>
    <w:p w:rsidR="00000000" w:rsidRDefault="00A96DC8">
      <w:pPr>
        <w:autoSpaceDE w:val="0"/>
        <w:autoSpaceDN w:val="0"/>
        <w:adjustRightInd w:val="0"/>
        <w:rPr>
          <w:rFonts w:ascii="Arial" w:hAnsi="Arial" w:cs="Arial"/>
        </w:rPr>
      </w:pPr>
    </w:p>
    <w:p w:rsidR="00000000" w:rsidRDefault="00A96DC8">
      <w:pPr>
        <w:autoSpaceDE w:val="0"/>
        <w:autoSpaceDN w:val="0"/>
        <w:adjustRightInd w:val="0"/>
        <w:rPr>
          <w:rFonts w:ascii="Times New Roman" w:hAnsi="Times New Roman" w:cs="Times New Roman"/>
          <w:color w:val="000000"/>
        </w:rPr>
      </w:pPr>
    </w:p>
    <w:p w:rsidR="00000000" w:rsidRDefault="00A96DC8">
      <w:pPr>
        <w:autoSpaceDE w:val="0"/>
        <w:autoSpaceDN w:val="0"/>
        <w:adjustRightInd w:val="0"/>
        <w:rPr>
          <w:rFonts w:ascii="Arial" w:hAnsi="Arial" w:cs="Arial"/>
        </w:rPr>
        <w:sectPr w:rsidR="00000000">
          <w:type w:val="continuous"/>
          <w:pgSz w:w="12240" w:h="15840"/>
          <w:pgMar w:top="1080" w:right="1080" w:bottom="1080" w:left="1080" w:header="720" w:footer="720" w:gutter="0"/>
          <w:cols w:space="720"/>
          <w:noEndnote/>
        </w:sectPr>
      </w:pPr>
    </w:p>
    <w:p w:rsidR="00000000" w:rsidRDefault="00A96DC8">
      <w:pPr>
        <w:autoSpaceDE w:val="0"/>
        <w:autoSpaceDN w:val="0"/>
        <w:adjustRightInd w:val="0"/>
        <w:rPr>
          <w:rFonts w:ascii="Arial" w:hAnsi="Arial" w:cs="Arial"/>
        </w:rPr>
      </w:pPr>
    </w:p>
    <w:sectPr w:rsidR="00000000">
      <w:type w:val="continuous"/>
      <w:pgSz w:w="12240" w:h="15840"/>
      <w:pgMar w:top="1080" w:right="1080" w:bottom="1080" w:left="108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96DC8">
      <w:r>
        <w:separator/>
      </w:r>
    </w:p>
  </w:endnote>
  <w:endnote w:type="continuationSeparator" w:id="0">
    <w:p w:rsidR="00000000" w:rsidRDefault="00A9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9300"/>
      <w:gridCol w:w="700"/>
    </w:tblGrid>
    <w:tr w:rsidR="00000000">
      <w:tc>
        <w:tcPr>
          <w:tcW w:w="9300" w:type="dxa"/>
          <w:tcBorders>
            <w:top w:val="single" w:sz="8" w:space="0" w:color="AAAAAA"/>
            <w:left w:val="nil"/>
            <w:bottom w:val="nil"/>
            <w:right w:val="nil"/>
          </w:tcBorders>
          <w:tcMar>
            <w:top w:w="60" w:type="dxa"/>
            <w:left w:w="0" w:type="dxa"/>
            <w:bottom w:w="0" w:type="dxa"/>
            <w:right w:w="0" w:type="dxa"/>
          </w:tcMar>
          <w:vAlign w:val="bottom"/>
        </w:tcPr>
        <w:p w:rsidR="00000000" w:rsidRDefault="00A96DC8">
          <w:pPr>
            <w:autoSpaceDE w:val="0"/>
            <w:autoSpaceDN w:val="0"/>
            <w:adjustRightInd w:val="0"/>
            <w:rPr>
              <w:rFonts w:ascii="Arial" w:hAnsi="Arial" w:cs="Arial"/>
              <w:color w:val="AAAAAA"/>
              <w:sz w:val="20"/>
            </w:rPr>
          </w:pPr>
          <w:r>
            <w:rPr>
              <w:rFonts w:ascii="Arial" w:hAnsi="Arial" w:cs="Arial"/>
              <w:noProof/>
              <w:color w:val="AAAAAA"/>
              <w:sz w:val="20"/>
            </w:rPr>
            <w:drawing>
              <wp:inline distT="0" distB="0" distL="0" distR="0">
                <wp:extent cx="7429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5250"/>
                        </a:xfrm>
                        <a:prstGeom prst="rect">
                          <a:avLst/>
                        </a:prstGeom>
                        <a:noFill/>
                        <a:ln>
                          <a:noFill/>
                        </a:ln>
                      </pic:spPr>
                    </pic:pic>
                  </a:graphicData>
                </a:graphic>
              </wp:inline>
            </w:drawing>
          </w:r>
          <w:r>
            <w:rPr>
              <w:rFonts w:ascii="Arial" w:hAnsi="Arial" w:cs="Arial"/>
              <w:color w:val="AAAAAA"/>
              <w:sz w:val="20"/>
            </w:rPr>
            <w:t xml:space="preserve"> © 2020 Thomson Reuters. No claim to original U.S. Government Works.</w:t>
          </w:r>
        </w:p>
      </w:tc>
      <w:tc>
        <w:tcPr>
          <w:tcW w:w="700" w:type="dxa"/>
          <w:tcBorders>
            <w:top w:val="single" w:sz="8" w:space="0" w:color="AAAAAA"/>
            <w:left w:val="nil"/>
            <w:bottom w:val="nil"/>
            <w:right w:val="nil"/>
          </w:tcBorders>
          <w:tcMar>
            <w:top w:w="60" w:type="dxa"/>
            <w:left w:w="0" w:type="dxa"/>
            <w:bottom w:w="0" w:type="dxa"/>
            <w:right w:w="0" w:type="dxa"/>
          </w:tcMar>
        </w:tcPr>
        <w:p w:rsidR="00000000" w:rsidRDefault="00A96DC8">
          <w:pPr>
            <w:autoSpaceDE w:val="0"/>
            <w:autoSpaceDN w:val="0"/>
            <w:adjustRightInd w:val="0"/>
            <w:jc w:val="right"/>
            <w:rPr>
              <w:rFonts w:ascii="Arial" w:hAnsi="Arial" w:cs="Arial"/>
              <w:color w:val="AAAAAA"/>
              <w:sz w:val="20"/>
            </w:rPr>
          </w:pPr>
          <w:r>
            <w:rPr>
              <w:rFonts w:ascii="Arial" w:hAnsi="Arial" w:cs="Arial"/>
              <w:color w:val="AAAAAA"/>
              <w:sz w:val="20"/>
            </w:rPr>
            <w:fldChar w:fldCharType="begin"/>
          </w:r>
          <w:r>
            <w:rPr>
              <w:rFonts w:ascii="Arial" w:hAnsi="Arial" w:cs="Arial"/>
              <w:color w:val="AAAAAA"/>
              <w:sz w:val="20"/>
            </w:rPr>
            <w:instrText>PAGE</w:instrText>
          </w:r>
          <w:r>
            <w:rPr>
              <w:rFonts w:ascii="Arial" w:hAnsi="Arial" w:cs="Arial"/>
              <w:color w:val="AAAAAA"/>
              <w:sz w:val="20"/>
            </w:rPr>
            <w:fldChar w:fldCharType="separate"/>
          </w:r>
          <w:r>
            <w:rPr>
              <w:rFonts w:ascii="Arial" w:hAnsi="Arial" w:cs="Arial"/>
              <w:noProof/>
              <w:color w:val="AAAAAA"/>
              <w:sz w:val="20"/>
            </w:rPr>
            <w:t>1</w:t>
          </w:r>
          <w:r>
            <w:rPr>
              <w:rFonts w:ascii="Arial" w:hAnsi="Arial" w:cs="Arial"/>
              <w:color w:val="AAAAAA"/>
              <w:sz w:val="20"/>
            </w:rPr>
            <w:fldChar w:fldCharType="end"/>
          </w:r>
        </w:p>
      </w:tc>
    </w:tr>
  </w:tbl>
  <w:p w:rsidR="00000000" w:rsidRDefault="00A96DC8">
    <w:pPr>
      <w:autoSpaceDE w:val="0"/>
      <w:autoSpaceDN w:val="0"/>
      <w:adjustRightInd w:val="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96DC8">
      <w:r>
        <w:separator/>
      </w:r>
    </w:p>
  </w:footnote>
  <w:footnote w:type="continuationSeparator" w:id="0">
    <w:p w:rsidR="00000000" w:rsidRDefault="00A96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9380"/>
      <w:gridCol w:w="700"/>
    </w:tblGrid>
    <w:tr w:rsidR="00000000">
      <w:tc>
        <w:tcPr>
          <w:tcW w:w="9380" w:type="dxa"/>
          <w:tcBorders>
            <w:top w:val="nil"/>
            <w:left w:val="nil"/>
            <w:bottom w:val="single" w:sz="8" w:space="0" w:color="AAAAAA"/>
            <w:right w:val="nil"/>
          </w:tcBorders>
          <w:tcMar>
            <w:top w:w="400" w:type="dxa"/>
            <w:left w:w="0" w:type="dxa"/>
            <w:bottom w:w="60" w:type="dxa"/>
            <w:right w:w="0" w:type="dxa"/>
          </w:tcMar>
          <w:vAlign w:val="bottom"/>
        </w:tcPr>
        <w:p w:rsidR="00000000" w:rsidRDefault="00A96DC8">
          <w:pPr>
            <w:autoSpaceDE w:val="0"/>
            <w:autoSpaceDN w:val="0"/>
            <w:adjustRightInd w:val="0"/>
            <w:rPr>
              <w:rFonts w:ascii="Arial" w:hAnsi="Arial" w:cs="Arial"/>
              <w:color w:val="000000"/>
              <w:sz w:val="18"/>
            </w:rPr>
          </w:pPr>
          <w:r>
            <w:rPr>
              <w:rFonts w:ascii="Arial" w:hAnsi="Arial" w:cs="Arial"/>
              <w:b/>
              <w:color w:val="555555"/>
              <w:sz w:val="18"/>
            </w:rPr>
            <w:t>DEWAYNE JOHNSON, Plaintiff and Respondent, v...., --- Cal.Rptr.3d ---- (2020)</w:t>
          </w:r>
        </w:p>
      </w:tc>
      <w:tc>
        <w:tcPr>
          <w:tcW w:w="700" w:type="dxa"/>
          <w:tcBorders>
            <w:top w:val="nil"/>
            <w:left w:val="nil"/>
            <w:bottom w:val="single" w:sz="8" w:space="0" w:color="AAAAAA"/>
            <w:right w:val="nil"/>
          </w:tcBorders>
          <w:tcMar>
            <w:top w:w="400" w:type="dxa"/>
            <w:left w:w="0" w:type="dxa"/>
            <w:bottom w:w="60" w:type="dxa"/>
            <w:right w:w="0" w:type="dxa"/>
          </w:tcMar>
        </w:tcPr>
        <w:p w:rsidR="00000000" w:rsidRDefault="00A96DC8">
          <w:pPr>
            <w:autoSpaceDE w:val="0"/>
            <w:autoSpaceDN w:val="0"/>
            <w:adjustRightInd w:val="0"/>
            <w:jc w:val="right"/>
            <w:rPr>
              <w:rFonts w:ascii="Arial" w:hAnsi="Arial" w:cs="Arial"/>
              <w:color w:val="000000"/>
              <w:sz w:val="18"/>
            </w:rPr>
          </w:pPr>
        </w:p>
      </w:tc>
    </w:tr>
    <w:tr w:rsidR="00000000">
      <w:tc>
        <w:tcPr>
          <w:tcW w:w="10080" w:type="dxa"/>
          <w:gridSpan w:val="2"/>
          <w:tcBorders>
            <w:top w:val="nil"/>
            <w:left w:val="nil"/>
            <w:bottom w:val="nil"/>
            <w:right w:val="nil"/>
          </w:tcBorders>
          <w:tcMar>
            <w:top w:w="0" w:type="dxa"/>
            <w:left w:w="0" w:type="dxa"/>
            <w:bottom w:w="0" w:type="dxa"/>
            <w:right w:w="0" w:type="dxa"/>
          </w:tcMar>
        </w:tcPr>
        <w:p w:rsidR="00000000" w:rsidRDefault="00A96DC8">
          <w:pPr>
            <w:autoSpaceDE w:val="0"/>
            <w:autoSpaceDN w:val="0"/>
            <w:adjustRightInd w:val="0"/>
            <w:rPr>
              <w:rFonts w:ascii="Arial" w:hAnsi="Arial" w:cs="Arial"/>
              <w:color w:val="000000"/>
              <w:sz w:val="18"/>
            </w:rPr>
          </w:pPr>
        </w:p>
      </w:tc>
    </w:tr>
  </w:tbl>
  <w:p w:rsidR="00000000" w:rsidRDefault="00A96DC8">
    <w:pPr>
      <w:autoSpaceDE w:val="0"/>
      <w:autoSpaceDN w:val="0"/>
      <w:adjustRightInd w:val="0"/>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5B"/>
    <w:rsid w:val="00A96DC8"/>
    <w:rsid w:val="00FC315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524540-0E89-4B95-A206-2B0E34B1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semiHidden="1" w:unhideWhenUsed="1"/>
    <w:lsdException w:name="List 4" w:semiHidden="1" w:unhideWhenUsed="1"/>
    <w:lsdException w:name="List 5" w:semiHidden="1" w:unhideWhenUsed="1"/>
    <w:lsdException w:name="Title" w:qFormat="1"/>
    <w:lsdException w:name="Subtitle" w:qFormat="1"/>
    <w:lsdException w:name="Salutation" w:semiHidden="1" w:unhideWhenUsed="1"/>
    <w:lsdException w:name="Date" w:semiHidden="1" w:unhideWhenUsed="1"/>
    <w:lsdException w:name="Body Text First Indent" w:semiHidden="1" w:unhideWhenUsed="1"/>
    <w:lsdException w:name="Strong" w:qFormat="1"/>
    <w:lsdException w:name="Emphasis" w:qFormat="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pPr>
      <w:widowControl w:val="0"/>
      <w:spacing w:after="0" w:line="240" w:lineRule="auto"/>
    </w:pPr>
    <w:rPr>
      <w:rFonts w:cs="Calibri"/>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23787</Words>
  <Characters>135592</Characters>
  <Application>Microsoft Office Word</Application>
  <DocSecurity>0</DocSecurity>
  <Lines>1129</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James M.</dc:creator>
  <cp:keywords/>
  <dc:description/>
  <cp:lastModifiedBy>Beck, James M.</cp:lastModifiedBy>
  <cp:revision>2</cp:revision>
  <cp:lastPrinted>2411-12-30T05:00:00Z</cp:lastPrinted>
  <dcterms:created xsi:type="dcterms:W3CDTF">2020-07-27T13:27:00Z</dcterms:created>
  <dcterms:modified xsi:type="dcterms:W3CDTF">2020-07-27T13:27:00Z</dcterms:modified>
</cp:coreProperties>
</file>